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C5C" w:rsidRPr="003E442F" w:rsidRDefault="008B5C5C" w:rsidP="008B5C5C">
      <w:pPr>
        <w:spacing w:line="240" w:lineRule="auto"/>
        <w:jc w:val="center"/>
        <w:rPr>
          <w:rFonts w:asciiTheme="majorHAnsi" w:eastAsia="Arial Unicode MS" w:hAnsiTheme="majorHAnsi" w:cs="Arial"/>
          <w:b/>
          <w:sz w:val="28"/>
          <w:szCs w:val="28"/>
        </w:rPr>
      </w:pPr>
      <w:r w:rsidRPr="003E442F">
        <w:rPr>
          <w:rFonts w:asciiTheme="majorHAnsi" w:eastAsia="Arial Unicode MS" w:hAnsiTheme="majorHAnsi" w:cs="Arial"/>
          <w:b/>
          <w:sz w:val="28"/>
          <w:szCs w:val="28"/>
        </w:rPr>
        <w:t>REPUBLIQUE DU NIGER</w:t>
      </w:r>
    </w:p>
    <w:p w:rsidR="008B5C5C" w:rsidRPr="003E442F" w:rsidRDefault="008B5C5C" w:rsidP="008B5C5C">
      <w:pPr>
        <w:spacing w:line="240" w:lineRule="auto"/>
        <w:jc w:val="center"/>
        <w:rPr>
          <w:rFonts w:asciiTheme="majorHAnsi" w:eastAsia="Arial Unicode MS" w:hAnsiTheme="majorHAnsi" w:cs="Arial"/>
          <w:b/>
          <w:sz w:val="28"/>
          <w:szCs w:val="28"/>
        </w:rPr>
      </w:pPr>
      <w:r w:rsidRPr="003E442F">
        <w:rPr>
          <w:rFonts w:asciiTheme="majorHAnsi" w:eastAsia="Arial Unicode MS" w:hAnsiTheme="majorHAnsi" w:cs="Arial"/>
          <w:b/>
          <w:sz w:val="28"/>
          <w:szCs w:val="28"/>
        </w:rPr>
        <w:t>COUR D’APPEL DE NIAMEY</w:t>
      </w:r>
    </w:p>
    <w:p w:rsidR="008B5C5C" w:rsidRPr="003E442F" w:rsidRDefault="008B5C5C" w:rsidP="008B5C5C">
      <w:pPr>
        <w:spacing w:line="240" w:lineRule="auto"/>
        <w:jc w:val="center"/>
        <w:rPr>
          <w:rFonts w:asciiTheme="majorHAnsi" w:eastAsia="Arial Unicode MS" w:hAnsiTheme="majorHAnsi" w:cs="Arial"/>
          <w:b/>
          <w:sz w:val="28"/>
          <w:szCs w:val="28"/>
        </w:rPr>
      </w:pPr>
      <w:r w:rsidRPr="003E442F">
        <w:rPr>
          <w:rFonts w:asciiTheme="majorHAnsi" w:eastAsia="Arial Unicode MS" w:hAnsiTheme="majorHAnsi" w:cs="Arial"/>
          <w:b/>
          <w:sz w:val="28"/>
          <w:szCs w:val="28"/>
        </w:rPr>
        <w:t>TRIBUNAL DE COMMERCE DE NIAMEY</w:t>
      </w:r>
    </w:p>
    <w:p w:rsidR="008B5C5C" w:rsidRPr="003E442F" w:rsidRDefault="008B5C5C" w:rsidP="008B5C5C">
      <w:pPr>
        <w:spacing w:line="240" w:lineRule="auto"/>
        <w:jc w:val="both"/>
        <w:rPr>
          <w:rFonts w:asciiTheme="majorHAnsi" w:eastAsia="Arial Unicode MS" w:hAnsiTheme="majorHAnsi" w:cs="Arial"/>
          <w:b/>
          <w:sz w:val="28"/>
          <w:szCs w:val="28"/>
        </w:rPr>
      </w:pPr>
    </w:p>
    <w:tbl>
      <w:tblPr>
        <w:tblW w:w="10065" w:type="dxa"/>
        <w:tblInd w:w="-318" w:type="dxa"/>
        <w:tblBorders>
          <w:insideH w:val="single" w:sz="4" w:space="0" w:color="000000"/>
          <w:insideV w:val="single" w:sz="4" w:space="0" w:color="000000"/>
        </w:tblBorders>
        <w:tblLook w:val="04A0"/>
      </w:tblPr>
      <w:tblGrid>
        <w:gridCol w:w="2583"/>
        <w:gridCol w:w="7855"/>
      </w:tblGrid>
      <w:tr w:rsidR="008B5C5C" w:rsidRPr="003E442F" w:rsidTr="008B5C5C">
        <w:tc>
          <w:tcPr>
            <w:tcW w:w="3120" w:type="dxa"/>
            <w:tcBorders>
              <w:top w:val="nil"/>
              <w:left w:val="nil"/>
              <w:bottom w:val="nil"/>
              <w:right w:val="single" w:sz="4" w:space="0" w:color="000000"/>
            </w:tcBorders>
          </w:tcPr>
          <w:p w:rsidR="008B5C5C" w:rsidRPr="003E442F" w:rsidRDefault="008B5C5C">
            <w:pPr>
              <w:spacing w:line="240" w:lineRule="auto"/>
              <w:jc w:val="center"/>
              <w:rPr>
                <w:rFonts w:asciiTheme="majorHAnsi" w:eastAsia="Arial Unicode MS" w:hAnsiTheme="majorHAnsi" w:cs="Arial"/>
                <w:b/>
                <w:sz w:val="28"/>
                <w:szCs w:val="28"/>
              </w:rPr>
            </w:pPr>
            <w:r w:rsidRPr="003E442F">
              <w:rPr>
                <w:rFonts w:asciiTheme="majorHAnsi" w:eastAsia="Arial Unicode MS" w:hAnsiTheme="majorHAnsi" w:cs="Arial"/>
                <w:b/>
                <w:sz w:val="28"/>
                <w:szCs w:val="28"/>
              </w:rPr>
              <w:t>___________________</w:t>
            </w:r>
          </w:p>
          <w:p w:rsidR="008B5C5C" w:rsidRPr="003E442F" w:rsidRDefault="008B5C5C">
            <w:pPr>
              <w:spacing w:line="240" w:lineRule="auto"/>
              <w:jc w:val="center"/>
              <w:rPr>
                <w:rFonts w:asciiTheme="majorHAnsi" w:eastAsia="Arial Unicode MS" w:hAnsiTheme="majorHAnsi" w:cs="Arial"/>
                <w:b/>
                <w:sz w:val="28"/>
                <w:szCs w:val="28"/>
              </w:rPr>
            </w:pPr>
            <w:r w:rsidRPr="003E442F">
              <w:rPr>
                <w:rFonts w:asciiTheme="majorHAnsi" w:eastAsia="Arial Unicode MS" w:hAnsiTheme="majorHAnsi" w:cs="Arial"/>
                <w:b/>
                <w:sz w:val="28"/>
                <w:szCs w:val="28"/>
              </w:rPr>
              <w:t xml:space="preserve">JUGEMENT COMMERCIAL </w:t>
            </w:r>
            <w:r w:rsidR="00410FB1">
              <w:rPr>
                <w:rFonts w:asciiTheme="majorHAnsi" w:eastAsia="Arial Unicode MS" w:hAnsiTheme="majorHAnsi" w:cs="Arial"/>
                <w:b/>
                <w:color w:val="000000" w:themeColor="text1"/>
                <w:sz w:val="28"/>
                <w:szCs w:val="28"/>
              </w:rPr>
              <w:t>N°</w:t>
            </w:r>
            <w:r w:rsidRPr="003E442F">
              <w:rPr>
                <w:rFonts w:asciiTheme="majorHAnsi" w:eastAsia="Arial Unicode MS" w:hAnsiTheme="majorHAnsi" w:cs="Arial"/>
                <w:b/>
                <w:color w:val="000000" w:themeColor="text1"/>
                <w:sz w:val="28"/>
                <w:szCs w:val="28"/>
              </w:rPr>
              <w:t>0</w:t>
            </w:r>
            <w:r w:rsidR="001B0624" w:rsidRPr="003E442F">
              <w:rPr>
                <w:rFonts w:asciiTheme="majorHAnsi" w:eastAsia="Arial Unicode MS" w:hAnsiTheme="majorHAnsi" w:cs="Arial"/>
                <w:b/>
                <w:color w:val="000000" w:themeColor="text1"/>
                <w:sz w:val="28"/>
                <w:szCs w:val="28"/>
              </w:rPr>
              <w:t>83</w:t>
            </w:r>
            <w:r w:rsidR="00410FB1">
              <w:rPr>
                <w:rFonts w:asciiTheme="majorHAnsi" w:eastAsia="Arial Unicode MS" w:hAnsiTheme="majorHAnsi" w:cs="Arial"/>
                <w:b/>
                <w:color w:val="000000" w:themeColor="text1"/>
                <w:sz w:val="28"/>
                <w:szCs w:val="28"/>
              </w:rPr>
              <w:t xml:space="preserve">  </w:t>
            </w:r>
            <w:r w:rsidR="001B0624" w:rsidRPr="003E442F">
              <w:rPr>
                <w:rFonts w:asciiTheme="majorHAnsi" w:eastAsia="Arial Unicode MS" w:hAnsiTheme="majorHAnsi" w:cs="Arial"/>
                <w:b/>
                <w:sz w:val="28"/>
                <w:szCs w:val="28"/>
              </w:rPr>
              <w:t>du 06/07</w:t>
            </w:r>
            <w:r w:rsidRPr="003E442F">
              <w:rPr>
                <w:rFonts w:asciiTheme="majorHAnsi" w:eastAsia="Arial Unicode MS" w:hAnsiTheme="majorHAnsi" w:cs="Arial"/>
                <w:b/>
                <w:sz w:val="28"/>
                <w:szCs w:val="28"/>
              </w:rPr>
              <w:t>/2017</w:t>
            </w:r>
          </w:p>
          <w:p w:rsidR="008B5C5C" w:rsidRPr="003E442F" w:rsidRDefault="008B5C5C">
            <w:pPr>
              <w:spacing w:line="240" w:lineRule="auto"/>
              <w:rPr>
                <w:rFonts w:asciiTheme="majorHAnsi" w:eastAsia="Arial Unicode MS" w:hAnsiTheme="majorHAnsi" w:cs="Arial"/>
                <w:b/>
                <w:sz w:val="28"/>
                <w:szCs w:val="28"/>
              </w:rPr>
            </w:pPr>
            <w:r w:rsidRPr="003E442F">
              <w:rPr>
                <w:rFonts w:asciiTheme="majorHAnsi" w:eastAsia="Arial Unicode MS" w:hAnsiTheme="majorHAnsi" w:cs="Arial"/>
                <w:b/>
                <w:sz w:val="28"/>
                <w:szCs w:val="28"/>
              </w:rPr>
              <w:t xml:space="preserve">   CONTRADICTOIRE</w:t>
            </w:r>
          </w:p>
          <w:p w:rsidR="008B5C5C" w:rsidRPr="003E442F" w:rsidRDefault="008B5C5C">
            <w:pPr>
              <w:spacing w:line="240" w:lineRule="auto"/>
              <w:rPr>
                <w:rFonts w:asciiTheme="majorHAnsi" w:eastAsia="Arial Unicode MS" w:hAnsiTheme="majorHAnsi" w:cs="Arial"/>
                <w:b/>
                <w:sz w:val="28"/>
                <w:szCs w:val="28"/>
              </w:rPr>
            </w:pPr>
          </w:p>
          <w:p w:rsidR="008B5C5C" w:rsidRPr="003E442F" w:rsidRDefault="008B5C5C">
            <w:pPr>
              <w:spacing w:line="240" w:lineRule="auto"/>
              <w:rPr>
                <w:rFonts w:asciiTheme="majorHAnsi" w:eastAsia="Arial Unicode MS" w:hAnsiTheme="majorHAnsi" w:cs="Arial"/>
                <w:b/>
                <w:sz w:val="28"/>
                <w:szCs w:val="28"/>
                <w:u w:val="single"/>
              </w:rPr>
            </w:pPr>
            <w:r w:rsidRPr="003E442F">
              <w:rPr>
                <w:rFonts w:asciiTheme="majorHAnsi" w:eastAsia="Arial Unicode MS" w:hAnsiTheme="majorHAnsi" w:cs="Arial"/>
                <w:b/>
                <w:sz w:val="28"/>
                <w:szCs w:val="28"/>
                <w:u w:val="single"/>
              </w:rPr>
              <w:t>AFFAIRE</w:t>
            </w:r>
            <w:r w:rsidRPr="003E442F">
              <w:rPr>
                <w:rFonts w:asciiTheme="majorHAnsi" w:eastAsia="Arial Unicode MS" w:hAnsiTheme="majorHAnsi" w:cs="Arial"/>
                <w:b/>
                <w:sz w:val="28"/>
                <w:szCs w:val="28"/>
              </w:rPr>
              <w:t> :</w:t>
            </w:r>
          </w:p>
          <w:p w:rsidR="008B5C5C" w:rsidRPr="003E442F" w:rsidRDefault="008D1F70" w:rsidP="00410FB1">
            <w:pPr>
              <w:spacing w:line="240" w:lineRule="auto"/>
              <w:jc w:val="center"/>
              <w:rPr>
                <w:rFonts w:asciiTheme="majorHAnsi" w:eastAsia="Arial Unicode MS" w:hAnsiTheme="majorHAnsi" w:cs="Arial"/>
                <w:b/>
                <w:sz w:val="28"/>
                <w:szCs w:val="28"/>
              </w:rPr>
            </w:pPr>
            <w:r w:rsidRPr="003E442F">
              <w:rPr>
                <w:rFonts w:asciiTheme="majorHAnsi" w:hAnsiTheme="majorHAnsi" w:cs="Times New Roman"/>
                <w:b/>
                <w:sz w:val="28"/>
                <w:szCs w:val="28"/>
                <w:u w:val="single"/>
              </w:rPr>
              <w:t>MOUSSA N’DIAYE MALAMINE</w:t>
            </w:r>
          </w:p>
          <w:p w:rsidR="008B5C5C" w:rsidRPr="003E442F" w:rsidRDefault="008B5C5C">
            <w:pPr>
              <w:spacing w:line="240" w:lineRule="auto"/>
              <w:jc w:val="center"/>
              <w:rPr>
                <w:rFonts w:asciiTheme="majorHAnsi" w:eastAsia="Arial Unicode MS" w:hAnsiTheme="majorHAnsi" w:cs="Arial"/>
                <w:b/>
                <w:sz w:val="28"/>
                <w:szCs w:val="28"/>
                <w:u w:val="single"/>
              </w:rPr>
            </w:pPr>
            <w:r w:rsidRPr="003E442F">
              <w:rPr>
                <w:rFonts w:asciiTheme="majorHAnsi" w:eastAsia="Arial Unicode MS" w:hAnsiTheme="majorHAnsi" w:cs="Arial"/>
                <w:b/>
                <w:sz w:val="28"/>
                <w:szCs w:val="28"/>
                <w:u w:val="single"/>
              </w:rPr>
              <w:t>CONTRE</w:t>
            </w:r>
          </w:p>
          <w:p w:rsidR="008B5C5C" w:rsidRPr="003E442F" w:rsidRDefault="008D1F70">
            <w:pPr>
              <w:spacing w:line="240" w:lineRule="auto"/>
              <w:jc w:val="center"/>
              <w:rPr>
                <w:rFonts w:asciiTheme="majorHAnsi" w:eastAsia="Arial Unicode MS" w:hAnsiTheme="majorHAnsi" w:cs="Arial"/>
                <w:b/>
                <w:sz w:val="28"/>
                <w:szCs w:val="28"/>
                <w:u w:val="single"/>
              </w:rPr>
            </w:pPr>
            <w:r w:rsidRPr="003E442F">
              <w:rPr>
                <w:rFonts w:asciiTheme="majorHAnsi" w:eastAsia="Times New Roman" w:hAnsiTheme="majorHAnsi"/>
                <w:b/>
                <w:sz w:val="28"/>
                <w:szCs w:val="28"/>
                <w:u w:val="single"/>
              </w:rPr>
              <w:t>HASSANE BOMBOUA</w:t>
            </w:r>
          </w:p>
        </w:tc>
        <w:tc>
          <w:tcPr>
            <w:tcW w:w="6945" w:type="dxa"/>
            <w:tcBorders>
              <w:top w:val="nil"/>
              <w:left w:val="single" w:sz="4" w:space="0" w:color="000000"/>
              <w:bottom w:val="nil"/>
              <w:right w:val="nil"/>
            </w:tcBorders>
          </w:tcPr>
          <w:p w:rsidR="008B5C5C" w:rsidRPr="003E442F" w:rsidRDefault="008B5C5C">
            <w:pPr>
              <w:spacing w:line="240" w:lineRule="auto"/>
              <w:jc w:val="both"/>
              <w:rPr>
                <w:rFonts w:asciiTheme="majorHAnsi" w:eastAsia="Arial Unicode MS" w:hAnsiTheme="majorHAnsi" w:cs="Arial"/>
                <w:b/>
                <w:sz w:val="28"/>
                <w:szCs w:val="28"/>
                <w:u w:val="single"/>
              </w:rPr>
            </w:pPr>
            <w:r w:rsidRPr="003E442F">
              <w:rPr>
                <w:rFonts w:asciiTheme="majorHAnsi" w:eastAsia="Arial Unicode MS" w:hAnsiTheme="majorHAnsi" w:cs="Arial"/>
                <w:b/>
                <w:sz w:val="28"/>
                <w:szCs w:val="28"/>
                <w:u w:val="single"/>
              </w:rPr>
              <w:t xml:space="preserve">AUDIENCE </w:t>
            </w:r>
            <w:r w:rsidR="001B0624" w:rsidRPr="003E442F">
              <w:rPr>
                <w:rFonts w:asciiTheme="majorHAnsi" w:eastAsia="Arial Unicode MS" w:hAnsiTheme="majorHAnsi" w:cs="Arial"/>
                <w:b/>
                <w:sz w:val="28"/>
                <w:szCs w:val="28"/>
                <w:u w:val="single"/>
              </w:rPr>
              <w:t>PUBLIQUE ORDINAIRE DU 06 JUILLET</w:t>
            </w:r>
            <w:r w:rsidRPr="003E442F">
              <w:rPr>
                <w:rFonts w:asciiTheme="majorHAnsi" w:eastAsia="Arial Unicode MS" w:hAnsiTheme="majorHAnsi" w:cs="Arial"/>
                <w:b/>
                <w:sz w:val="28"/>
                <w:szCs w:val="28"/>
                <w:u w:val="single"/>
              </w:rPr>
              <w:t xml:space="preserve">  2017</w:t>
            </w:r>
          </w:p>
          <w:p w:rsidR="008B5C5C" w:rsidRPr="003E442F" w:rsidRDefault="008B5C5C">
            <w:pPr>
              <w:spacing w:line="240" w:lineRule="auto"/>
              <w:ind w:firstLine="708"/>
              <w:jc w:val="both"/>
              <w:rPr>
                <w:rFonts w:asciiTheme="majorHAnsi" w:eastAsia="Times New Roman" w:hAnsiTheme="majorHAnsi"/>
                <w:sz w:val="28"/>
                <w:szCs w:val="28"/>
              </w:rPr>
            </w:pPr>
            <w:r w:rsidRPr="003E442F">
              <w:rPr>
                <w:rFonts w:asciiTheme="majorHAnsi" w:eastAsia="Times New Roman" w:hAnsiTheme="majorHAnsi"/>
                <w:sz w:val="28"/>
                <w:szCs w:val="28"/>
              </w:rPr>
              <w:t>Le Tribunal de  Commerce  de Niamey en son audience publique o</w:t>
            </w:r>
            <w:r w:rsidR="001B0624" w:rsidRPr="003E442F">
              <w:rPr>
                <w:rFonts w:asciiTheme="majorHAnsi" w:eastAsia="Times New Roman" w:hAnsiTheme="majorHAnsi"/>
                <w:sz w:val="28"/>
                <w:szCs w:val="28"/>
              </w:rPr>
              <w:t xml:space="preserve">rdinaire du  Six Juillet </w:t>
            </w:r>
            <w:r w:rsidRPr="003E442F">
              <w:rPr>
                <w:rFonts w:asciiTheme="majorHAnsi" w:eastAsia="Times New Roman" w:hAnsiTheme="majorHAnsi"/>
                <w:sz w:val="28"/>
                <w:szCs w:val="28"/>
              </w:rPr>
              <w:t xml:space="preserve">Deux-mil dix-sept, tenue pour les affaires commerciales par </w:t>
            </w:r>
            <w:r w:rsidR="00CB02F2" w:rsidRPr="003E442F">
              <w:rPr>
                <w:rFonts w:asciiTheme="majorHAnsi" w:eastAsia="Times New Roman" w:hAnsiTheme="majorHAnsi"/>
                <w:sz w:val="28"/>
                <w:szCs w:val="28"/>
              </w:rPr>
              <w:t xml:space="preserve"> Monsieur </w:t>
            </w:r>
            <w:r w:rsidRPr="003E442F">
              <w:rPr>
                <w:rFonts w:asciiTheme="majorHAnsi" w:eastAsia="Times New Roman" w:hAnsiTheme="majorHAnsi"/>
                <w:b/>
                <w:sz w:val="28"/>
                <w:szCs w:val="28"/>
              </w:rPr>
              <w:t xml:space="preserve">YACOUBA ISSAKA, </w:t>
            </w:r>
            <w:r w:rsidRPr="003E442F">
              <w:rPr>
                <w:rFonts w:asciiTheme="majorHAnsi" w:eastAsia="Times New Roman" w:hAnsiTheme="majorHAnsi"/>
                <w:sz w:val="28"/>
                <w:szCs w:val="28"/>
              </w:rPr>
              <w:t xml:space="preserve">Juge au Tribunal,  </w:t>
            </w:r>
            <w:r w:rsidRPr="003E442F">
              <w:rPr>
                <w:rFonts w:asciiTheme="majorHAnsi" w:eastAsia="Times New Roman" w:hAnsiTheme="majorHAnsi"/>
                <w:b/>
                <w:sz w:val="28"/>
                <w:szCs w:val="28"/>
                <w:u w:val="single"/>
              </w:rPr>
              <w:t>PRESIDENT</w:t>
            </w:r>
            <w:r w:rsidRPr="003E442F">
              <w:rPr>
                <w:rFonts w:asciiTheme="majorHAnsi" w:eastAsia="Times New Roman" w:hAnsiTheme="majorHAnsi"/>
                <w:sz w:val="28"/>
                <w:szCs w:val="28"/>
              </w:rPr>
              <w:t>, en présence de M</w:t>
            </w:r>
            <w:r w:rsidR="007070B6" w:rsidRPr="003E442F">
              <w:rPr>
                <w:rFonts w:asciiTheme="majorHAnsi" w:eastAsia="Times New Roman" w:hAnsiTheme="majorHAnsi"/>
                <w:sz w:val="28"/>
                <w:szCs w:val="28"/>
              </w:rPr>
              <w:t xml:space="preserve">adame </w:t>
            </w:r>
            <w:r w:rsidR="007070B6" w:rsidRPr="003E442F">
              <w:rPr>
                <w:rFonts w:asciiTheme="majorHAnsi" w:eastAsia="Times New Roman" w:hAnsiTheme="majorHAnsi"/>
                <w:b/>
                <w:sz w:val="28"/>
                <w:szCs w:val="28"/>
              </w:rPr>
              <w:t>NANA AICHATOU ABDOU ISSOUFOU</w:t>
            </w:r>
            <w:r w:rsidRPr="003E442F">
              <w:rPr>
                <w:rFonts w:asciiTheme="majorHAnsi" w:eastAsia="Times New Roman" w:hAnsiTheme="majorHAnsi"/>
                <w:b/>
                <w:sz w:val="28"/>
                <w:szCs w:val="28"/>
              </w:rPr>
              <w:t xml:space="preserve">  </w:t>
            </w:r>
            <w:r w:rsidRPr="003E442F">
              <w:rPr>
                <w:rFonts w:asciiTheme="majorHAnsi" w:eastAsia="Times New Roman" w:hAnsiTheme="majorHAnsi"/>
                <w:sz w:val="28"/>
                <w:szCs w:val="28"/>
              </w:rPr>
              <w:t>et</w:t>
            </w:r>
            <w:r w:rsidR="007070B6" w:rsidRPr="003E442F">
              <w:rPr>
                <w:rFonts w:asciiTheme="majorHAnsi" w:eastAsia="Times New Roman" w:hAnsiTheme="majorHAnsi"/>
                <w:sz w:val="28"/>
                <w:szCs w:val="28"/>
              </w:rPr>
              <w:t xml:space="preserve"> Monsieur </w:t>
            </w:r>
            <w:r w:rsidR="007070B6" w:rsidRPr="003E442F">
              <w:rPr>
                <w:rFonts w:asciiTheme="majorHAnsi" w:eastAsia="Times New Roman" w:hAnsiTheme="majorHAnsi"/>
                <w:b/>
                <w:sz w:val="28"/>
                <w:szCs w:val="28"/>
              </w:rPr>
              <w:t xml:space="preserve">SAHABI </w:t>
            </w:r>
            <w:r w:rsidR="003E442F" w:rsidRPr="003E442F">
              <w:rPr>
                <w:rFonts w:asciiTheme="majorHAnsi" w:eastAsia="Times New Roman" w:hAnsiTheme="majorHAnsi"/>
                <w:b/>
                <w:sz w:val="28"/>
                <w:szCs w:val="28"/>
              </w:rPr>
              <w:t xml:space="preserve"> </w:t>
            </w:r>
            <w:r w:rsidR="007070B6" w:rsidRPr="003E442F">
              <w:rPr>
                <w:rFonts w:asciiTheme="majorHAnsi" w:eastAsia="Times New Roman" w:hAnsiTheme="majorHAnsi"/>
                <w:b/>
                <w:sz w:val="28"/>
                <w:szCs w:val="28"/>
              </w:rPr>
              <w:t>YAGI</w:t>
            </w:r>
            <w:r w:rsidRPr="003E442F">
              <w:rPr>
                <w:rFonts w:asciiTheme="majorHAnsi" w:eastAsia="Times New Roman" w:hAnsiTheme="majorHAnsi"/>
                <w:sz w:val="28"/>
                <w:szCs w:val="28"/>
              </w:rPr>
              <w:t xml:space="preserve">, Juges Consulaires , </w:t>
            </w:r>
            <w:r w:rsidRPr="003E442F">
              <w:rPr>
                <w:rFonts w:asciiTheme="majorHAnsi" w:eastAsia="Times New Roman" w:hAnsiTheme="majorHAnsi"/>
                <w:b/>
                <w:sz w:val="28"/>
                <w:szCs w:val="28"/>
                <w:u w:val="single"/>
              </w:rPr>
              <w:t>MEMBRES</w:t>
            </w:r>
            <w:r w:rsidRPr="003E442F">
              <w:rPr>
                <w:rFonts w:asciiTheme="majorHAnsi" w:eastAsia="Times New Roman" w:hAnsiTheme="majorHAnsi"/>
                <w:sz w:val="28"/>
                <w:szCs w:val="28"/>
              </w:rPr>
              <w:t xml:space="preserve">, assistés de </w:t>
            </w:r>
            <w:r w:rsidRPr="003E442F">
              <w:rPr>
                <w:rFonts w:asciiTheme="majorHAnsi" w:eastAsia="Times New Roman" w:hAnsiTheme="majorHAnsi"/>
                <w:b/>
                <w:sz w:val="28"/>
                <w:szCs w:val="28"/>
              </w:rPr>
              <w:t xml:space="preserve">Maitre  COULIBALY MARIATOU </w:t>
            </w:r>
            <w:r w:rsidRPr="003E442F">
              <w:rPr>
                <w:rFonts w:asciiTheme="majorHAnsi" w:eastAsia="Times New Roman" w:hAnsiTheme="majorHAnsi"/>
                <w:sz w:val="28"/>
                <w:szCs w:val="28"/>
              </w:rPr>
              <w:t xml:space="preserve">, </w:t>
            </w:r>
            <w:r w:rsidRPr="003E442F">
              <w:rPr>
                <w:rFonts w:asciiTheme="majorHAnsi" w:eastAsia="Times New Roman" w:hAnsiTheme="majorHAnsi"/>
                <w:b/>
                <w:sz w:val="28"/>
                <w:szCs w:val="28"/>
                <w:u w:val="single"/>
              </w:rPr>
              <w:t>Greffière</w:t>
            </w:r>
            <w:r w:rsidRPr="003E442F">
              <w:rPr>
                <w:rFonts w:asciiTheme="majorHAnsi" w:eastAsia="Times New Roman" w:hAnsiTheme="majorHAnsi"/>
                <w:sz w:val="28"/>
                <w:szCs w:val="28"/>
              </w:rPr>
              <w:t xml:space="preserve"> a rendu le jugement dont la teneur suit :</w:t>
            </w:r>
          </w:p>
          <w:p w:rsidR="008B5C5C" w:rsidRPr="003E442F" w:rsidRDefault="008B5C5C">
            <w:pPr>
              <w:jc w:val="both"/>
              <w:rPr>
                <w:rFonts w:asciiTheme="majorHAnsi" w:hAnsiTheme="majorHAnsi" w:cs="Arial"/>
                <w:sz w:val="28"/>
                <w:szCs w:val="28"/>
              </w:rPr>
            </w:pPr>
            <w:r w:rsidRPr="003E442F">
              <w:rPr>
                <w:rFonts w:asciiTheme="majorHAnsi" w:hAnsiTheme="majorHAnsi" w:cs="Arial"/>
                <w:b/>
                <w:sz w:val="28"/>
                <w:szCs w:val="28"/>
              </w:rPr>
              <w:t xml:space="preserve"> ENTRE</w:t>
            </w:r>
          </w:p>
          <w:p w:rsidR="009F66FA" w:rsidRPr="003E442F" w:rsidRDefault="009F66FA" w:rsidP="009F66FA">
            <w:pPr>
              <w:spacing w:line="240" w:lineRule="auto"/>
              <w:jc w:val="both"/>
              <w:rPr>
                <w:rFonts w:asciiTheme="majorHAnsi" w:hAnsiTheme="majorHAnsi"/>
                <w:b/>
                <w:sz w:val="28"/>
                <w:szCs w:val="28"/>
              </w:rPr>
            </w:pPr>
            <w:r w:rsidRPr="003E442F">
              <w:rPr>
                <w:rFonts w:asciiTheme="majorHAnsi" w:hAnsiTheme="majorHAnsi" w:cs="Courier New"/>
                <w:b/>
                <w:sz w:val="28"/>
                <w:szCs w:val="28"/>
                <w:u w:val="single"/>
              </w:rPr>
              <w:t>MOUSSA N’DIAYE MALAMINE</w:t>
            </w:r>
            <w:r w:rsidRPr="003E442F">
              <w:rPr>
                <w:rFonts w:asciiTheme="majorHAnsi" w:hAnsiTheme="majorHAnsi" w:cs="Courier New"/>
                <w:sz w:val="28"/>
                <w:szCs w:val="28"/>
              </w:rPr>
              <w:t>, Agent d’affaire près le Tribunal de Grande Instance Hors Classe de Niamey, RCCM-NI-NIA-2014-A-2647 NIF 30414/S, Niamey quartier Kalley Sud, Avenu du NIGER, Rue du Nouveau Marché NM 32 Tel : (00227)97 39 79 65/94 63 80 45/91 66 62 65 ;</w:t>
            </w:r>
          </w:p>
          <w:p w:rsidR="008B5C5C" w:rsidRPr="003E442F" w:rsidRDefault="003E442F">
            <w:pPr>
              <w:jc w:val="right"/>
              <w:rPr>
                <w:rFonts w:asciiTheme="majorHAnsi" w:hAnsiTheme="majorHAnsi" w:cs="Times New Roman"/>
                <w:b/>
                <w:sz w:val="28"/>
                <w:szCs w:val="28"/>
              </w:rPr>
            </w:pPr>
            <w:r>
              <w:rPr>
                <w:rFonts w:asciiTheme="majorHAnsi" w:eastAsia="Times New Roman" w:hAnsiTheme="majorHAnsi"/>
                <w:b/>
                <w:sz w:val="28"/>
                <w:szCs w:val="28"/>
              </w:rPr>
              <w:t xml:space="preserve">                  </w:t>
            </w:r>
            <w:r w:rsidR="008B5C5C" w:rsidRPr="003E442F">
              <w:rPr>
                <w:rFonts w:asciiTheme="majorHAnsi" w:eastAsia="Times New Roman" w:hAnsiTheme="majorHAnsi"/>
                <w:b/>
                <w:sz w:val="28"/>
                <w:szCs w:val="28"/>
                <w:u w:val="single"/>
              </w:rPr>
              <w:t>DEMANDEUR</w:t>
            </w:r>
            <w:r w:rsidR="008B5C5C" w:rsidRPr="003E442F">
              <w:rPr>
                <w:rFonts w:asciiTheme="majorHAnsi" w:hAnsiTheme="majorHAnsi" w:cs="Times New Roman"/>
                <w:b/>
                <w:sz w:val="28"/>
                <w:szCs w:val="28"/>
              </w:rPr>
              <w:t xml:space="preserve">                                                    </w:t>
            </w:r>
            <w:r>
              <w:rPr>
                <w:rFonts w:asciiTheme="majorHAnsi" w:hAnsiTheme="majorHAnsi" w:cs="Times New Roman"/>
                <w:b/>
                <w:sz w:val="28"/>
                <w:szCs w:val="28"/>
              </w:rPr>
              <w:t xml:space="preserve">                       </w:t>
            </w:r>
            <w:r w:rsidR="008B5C5C" w:rsidRPr="003E442F">
              <w:rPr>
                <w:rFonts w:asciiTheme="majorHAnsi" w:hAnsiTheme="majorHAnsi" w:cs="Times New Roman"/>
                <w:b/>
                <w:sz w:val="28"/>
                <w:szCs w:val="28"/>
              </w:rPr>
              <w:t xml:space="preserve">   </w:t>
            </w:r>
            <w:r w:rsidRPr="003E442F">
              <w:rPr>
                <w:rFonts w:asciiTheme="majorHAnsi" w:eastAsia="Times New Roman" w:hAnsiTheme="majorHAnsi"/>
                <w:b/>
                <w:sz w:val="28"/>
                <w:szCs w:val="28"/>
                <w:u w:val="single"/>
              </w:rPr>
              <w:t>D’UNE PART</w:t>
            </w:r>
          </w:p>
          <w:p w:rsidR="008B5C5C" w:rsidRPr="003E442F" w:rsidRDefault="008B5C5C">
            <w:pPr>
              <w:spacing w:line="240" w:lineRule="auto"/>
              <w:jc w:val="both"/>
              <w:rPr>
                <w:rFonts w:asciiTheme="majorHAnsi" w:eastAsia="Times New Roman" w:hAnsiTheme="majorHAnsi"/>
                <w:b/>
                <w:sz w:val="28"/>
                <w:szCs w:val="28"/>
              </w:rPr>
            </w:pPr>
            <w:r w:rsidRPr="003E442F">
              <w:rPr>
                <w:rFonts w:asciiTheme="majorHAnsi" w:eastAsia="Times New Roman" w:hAnsiTheme="majorHAnsi"/>
                <w:b/>
                <w:sz w:val="28"/>
                <w:szCs w:val="28"/>
              </w:rPr>
              <w:t>ET</w:t>
            </w:r>
          </w:p>
          <w:p w:rsidR="00F3652C" w:rsidRPr="003E442F" w:rsidRDefault="00F3652C" w:rsidP="00CD6977">
            <w:pPr>
              <w:jc w:val="both"/>
              <w:rPr>
                <w:rFonts w:asciiTheme="majorHAnsi" w:eastAsia="Bookman Old Style,Courier New" w:hAnsiTheme="majorHAnsi" w:cs="Bookman Old Style,Courier New"/>
                <w:bCs/>
                <w:sz w:val="28"/>
                <w:szCs w:val="28"/>
              </w:rPr>
            </w:pPr>
            <w:r w:rsidRPr="003E442F">
              <w:rPr>
                <w:rFonts w:asciiTheme="majorHAnsi" w:eastAsia="Bookman Old Style,Courier New" w:hAnsiTheme="majorHAnsi" w:cs="Bookman Old Style,Courier New"/>
                <w:b/>
                <w:bCs/>
                <w:sz w:val="28"/>
                <w:szCs w:val="28"/>
                <w:u w:val="single"/>
              </w:rPr>
              <w:t>HASSANE BOMBOUA</w:t>
            </w:r>
            <w:r w:rsidRPr="003E442F">
              <w:rPr>
                <w:rFonts w:asciiTheme="majorHAnsi" w:eastAsia="Bookman Old Style,Courier New" w:hAnsiTheme="majorHAnsi" w:cs="Bookman Old Style,Courier New"/>
                <w:bCs/>
                <w:sz w:val="28"/>
                <w:szCs w:val="28"/>
              </w:rPr>
              <w:t xml:space="preserve">   né vers 1964 à Torodi, Commerçant de nationalité nigérienne demeurant à Torodi, RCCM-NI-TI-20</w:t>
            </w:r>
            <w:r w:rsidR="00017E01" w:rsidRPr="003E442F">
              <w:rPr>
                <w:rFonts w:asciiTheme="majorHAnsi" w:eastAsia="Bookman Old Style,Courier New" w:hAnsiTheme="majorHAnsi" w:cs="Bookman Old Style,Courier New"/>
                <w:bCs/>
                <w:sz w:val="28"/>
                <w:szCs w:val="28"/>
              </w:rPr>
              <w:t>13-A-035 du 02/05/2013 NIF11532 ayant pour conseil la SCPA BNI</w:t>
            </w:r>
            <w:r w:rsidR="005D33F5" w:rsidRPr="003E442F">
              <w:rPr>
                <w:rFonts w:asciiTheme="majorHAnsi" w:eastAsia="Bookman Old Style,Courier New" w:hAnsiTheme="majorHAnsi" w:cs="Bookman Old Style,Courier New"/>
                <w:bCs/>
                <w:sz w:val="28"/>
                <w:szCs w:val="28"/>
              </w:rPr>
              <w:t xml:space="preserve"> et </w:t>
            </w:r>
            <w:r w:rsidR="00DC79C4" w:rsidRPr="003E442F">
              <w:rPr>
                <w:rFonts w:asciiTheme="majorHAnsi" w:eastAsia="Bookman Old Style,Courier New" w:hAnsiTheme="majorHAnsi" w:cs="Bookman Old Style,Courier New"/>
                <w:bCs/>
                <w:sz w:val="28"/>
                <w:szCs w:val="28"/>
              </w:rPr>
              <w:t>Collaborateurs, TERMINUS</w:t>
            </w:r>
            <w:r w:rsidR="00D348AC" w:rsidRPr="003E442F">
              <w:rPr>
                <w:rFonts w:asciiTheme="majorHAnsi" w:eastAsia="Bookman Old Style,Courier New" w:hAnsiTheme="majorHAnsi" w:cs="Bookman Old Style,Courier New"/>
                <w:bCs/>
                <w:sz w:val="28"/>
                <w:szCs w:val="28"/>
              </w:rPr>
              <w:t>, Rue NB 108, BP </w:t>
            </w:r>
            <w:r w:rsidR="00E552C8" w:rsidRPr="003E442F">
              <w:rPr>
                <w:rFonts w:asciiTheme="majorHAnsi" w:eastAsia="Bookman Old Style,Courier New" w:hAnsiTheme="majorHAnsi" w:cs="Bookman Old Style,Courier New"/>
                <w:bCs/>
                <w:sz w:val="28"/>
                <w:szCs w:val="28"/>
              </w:rPr>
              <w:t>: 10</w:t>
            </w:r>
            <w:r w:rsidR="00D348AC" w:rsidRPr="003E442F">
              <w:rPr>
                <w:rFonts w:asciiTheme="majorHAnsi" w:eastAsia="Bookman Old Style,Courier New" w:hAnsiTheme="majorHAnsi" w:cs="Bookman Old Style,Courier New"/>
                <w:bCs/>
                <w:sz w:val="28"/>
                <w:szCs w:val="28"/>
              </w:rPr>
              <w:t xml:space="preserve"> 520 Niamey</w:t>
            </w:r>
            <w:r w:rsidR="00CD6977">
              <w:rPr>
                <w:rFonts w:asciiTheme="majorHAnsi" w:eastAsia="Bookman Old Style,Courier New" w:hAnsiTheme="majorHAnsi" w:cs="Bookman Old Style,Courier New"/>
                <w:bCs/>
                <w:sz w:val="28"/>
                <w:szCs w:val="28"/>
              </w:rPr>
              <w:t>,NIF :</w:t>
            </w:r>
            <w:r w:rsidR="00DC79C4" w:rsidRPr="003E442F">
              <w:rPr>
                <w:rFonts w:asciiTheme="majorHAnsi" w:eastAsia="Bookman Old Style,Courier New" w:hAnsiTheme="majorHAnsi" w:cs="Bookman Old Style,Courier New"/>
                <w:bCs/>
                <w:sz w:val="28"/>
                <w:szCs w:val="28"/>
              </w:rPr>
              <w:t>19.57/.R</w:t>
            </w:r>
            <w:r w:rsidR="009B4FC3" w:rsidRPr="003E442F">
              <w:rPr>
                <w:rFonts w:asciiTheme="majorHAnsi" w:eastAsia="Bookman Old Style,Courier New" w:hAnsiTheme="majorHAnsi" w:cs="Bookman Old Style,Courier New"/>
                <w:bCs/>
                <w:sz w:val="28"/>
                <w:szCs w:val="28"/>
              </w:rPr>
              <w:t>, Email :</w:t>
            </w:r>
            <w:r w:rsidR="005A0381" w:rsidRPr="003E442F">
              <w:rPr>
                <w:rFonts w:asciiTheme="majorHAnsi" w:eastAsia="Bookman Old Style,Courier New" w:hAnsiTheme="majorHAnsi" w:cs="Bookman Old Style,Courier New"/>
                <w:bCs/>
                <w:sz w:val="28"/>
                <w:szCs w:val="28"/>
              </w:rPr>
              <w:t>bniawyers@gmail.com,</w:t>
            </w:r>
            <w:r w:rsidR="00E7503C" w:rsidRPr="003E442F">
              <w:rPr>
                <w:rFonts w:asciiTheme="majorHAnsi" w:eastAsia="Bookman Old Style,Courier New" w:hAnsiTheme="majorHAnsi" w:cs="Bookman Old Style,Courier New"/>
                <w:bCs/>
                <w:sz w:val="28"/>
                <w:szCs w:val="28"/>
              </w:rPr>
              <w:t>T</w:t>
            </w:r>
            <w:r w:rsidR="005A0381" w:rsidRPr="003E442F">
              <w:rPr>
                <w:rFonts w:asciiTheme="majorHAnsi" w:eastAsia="Bookman Old Style,Courier New" w:hAnsiTheme="majorHAnsi" w:cs="Bookman Old Style,Courier New"/>
                <w:bCs/>
                <w:sz w:val="28"/>
                <w:szCs w:val="28"/>
              </w:rPr>
              <w:t>el :20.73.88.10/Fax :20.73.88.11</w:t>
            </w:r>
          </w:p>
          <w:p w:rsidR="008B5C5C" w:rsidRPr="003E442F" w:rsidRDefault="00980CB2" w:rsidP="003E442F">
            <w:pPr>
              <w:jc w:val="right"/>
              <w:rPr>
                <w:rFonts w:asciiTheme="majorHAnsi" w:hAnsiTheme="majorHAnsi" w:cs="Arial"/>
                <w:b/>
                <w:sz w:val="28"/>
                <w:szCs w:val="28"/>
                <w:u w:val="single"/>
              </w:rPr>
            </w:pPr>
            <w:r w:rsidRPr="003E442F">
              <w:rPr>
                <w:rFonts w:asciiTheme="majorHAnsi" w:hAnsiTheme="majorHAnsi" w:cs="Arial"/>
                <w:b/>
                <w:sz w:val="28"/>
                <w:szCs w:val="28"/>
                <w:u w:val="single"/>
              </w:rPr>
              <w:t>DEFENDEUR</w:t>
            </w:r>
            <w:r w:rsidR="008B5C5C" w:rsidRPr="003E442F">
              <w:rPr>
                <w:rFonts w:asciiTheme="majorHAnsi" w:hAnsiTheme="majorHAnsi" w:cs="Arial"/>
                <w:b/>
                <w:sz w:val="28"/>
                <w:szCs w:val="28"/>
                <w:u w:val="single"/>
              </w:rPr>
              <w:t xml:space="preserve">                                                                 </w:t>
            </w:r>
            <w:r w:rsidR="003E442F">
              <w:rPr>
                <w:rFonts w:asciiTheme="majorHAnsi" w:hAnsiTheme="majorHAnsi" w:cs="Arial"/>
                <w:b/>
                <w:sz w:val="28"/>
                <w:szCs w:val="28"/>
                <w:u w:val="single"/>
              </w:rPr>
              <w:t xml:space="preserve">                             </w:t>
            </w:r>
            <w:r w:rsidR="008B5C5C" w:rsidRPr="003E442F">
              <w:rPr>
                <w:rFonts w:asciiTheme="majorHAnsi" w:hAnsiTheme="majorHAnsi" w:cs="Arial"/>
                <w:b/>
                <w:sz w:val="28"/>
                <w:szCs w:val="28"/>
                <w:u w:val="single"/>
              </w:rPr>
              <w:t xml:space="preserve"> D’AUTRE PART</w:t>
            </w:r>
          </w:p>
        </w:tc>
      </w:tr>
    </w:tbl>
    <w:p w:rsidR="008B5C5C" w:rsidRPr="00583F2F" w:rsidRDefault="008B5C5C" w:rsidP="008B5C5C">
      <w:pPr>
        <w:spacing w:line="240" w:lineRule="auto"/>
        <w:jc w:val="right"/>
        <w:rPr>
          <w:rFonts w:ascii="Times New Roman" w:eastAsia="Times New Roman" w:hAnsi="Times New Roman"/>
          <w:b/>
          <w:sz w:val="28"/>
          <w:szCs w:val="28"/>
        </w:rPr>
      </w:pPr>
    </w:p>
    <w:p w:rsidR="008B5C5C" w:rsidRPr="003E442F" w:rsidRDefault="008B5C5C" w:rsidP="008B5C5C">
      <w:pPr>
        <w:spacing w:line="240" w:lineRule="auto"/>
        <w:ind w:firstLine="708"/>
        <w:jc w:val="center"/>
        <w:rPr>
          <w:rFonts w:asciiTheme="majorHAnsi" w:hAnsiTheme="majorHAnsi" w:cstheme="majorBidi"/>
          <w:b/>
          <w:sz w:val="28"/>
          <w:szCs w:val="28"/>
          <w:u w:val="single"/>
        </w:rPr>
      </w:pPr>
      <w:r w:rsidRPr="003E442F">
        <w:rPr>
          <w:rFonts w:asciiTheme="majorHAnsi" w:hAnsiTheme="majorHAnsi" w:cstheme="majorBidi"/>
          <w:b/>
          <w:sz w:val="28"/>
          <w:szCs w:val="28"/>
          <w:u w:val="single"/>
        </w:rPr>
        <w:lastRenderedPageBreak/>
        <w:t>Faits et procédures</w:t>
      </w:r>
    </w:p>
    <w:p w:rsidR="00690885" w:rsidRPr="003E442F" w:rsidRDefault="008B5C5C" w:rsidP="00690885">
      <w:pPr>
        <w:jc w:val="both"/>
        <w:rPr>
          <w:rFonts w:asciiTheme="majorHAnsi" w:hAnsiTheme="majorHAnsi"/>
          <w:sz w:val="28"/>
          <w:szCs w:val="28"/>
        </w:rPr>
      </w:pPr>
      <w:r w:rsidRPr="003E442F">
        <w:rPr>
          <w:rFonts w:asciiTheme="majorHAnsi" w:hAnsiTheme="majorHAnsi"/>
          <w:sz w:val="28"/>
          <w:szCs w:val="28"/>
        </w:rPr>
        <w:tab/>
      </w:r>
      <w:r w:rsidR="00690885" w:rsidRPr="003E442F">
        <w:rPr>
          <w:rFonts w:asciiTheme="majorHAnsi" w:hAnsiTheme="majorHAnsi"/>
          <w:sz w:val="28"/>
          <w:szCs w:val="28"/>
        </w:rPr>
        <w:t>Par  requête aux fins d’injonction</w:t>
      </w:r>
      <w:r w:rsidR="00CF018D">
        <w:rPr>
          <w:rFonts w:asciiTheme="majorHAnsi" w:hAnsiTheme="majorHAnsi"/>
          <w:sz w:val="28"/>
          <w:szCs w:val="28"/>
        </w:rPr>
        <w:t xml:space="preserve"> de payer</w:t>
      </w:r>
      <w:r w:rsidR="00690885" w:rsidRPr="003E442F">
        <w:rPr>
          <w:rFonts w:asciiTheme="majorHAnsi" w:hAnsiTheme="majorHAnsi"/>
          <w:sz w:val="28"/>
          <w:szCs w:val="28"/>
        </w:rPr>
        <w:t xml:space="preserve"> en date du 17 Juillet 2017, MOUSSA N’DIAYE MALAMINE obtenait le 18 Janvier 2017 du Président du Tribunal de Grande Instance de Tillabéri une ordonnance d’injonction  de  payer la somme de 6 496 646 FCFA contre HASSANE BOMBOUA.</w:t>
      </w:r>
    </w:p>
    <w:p w:rsidR="00690885" w:rsidRPr="003E442F" w:rsidRDefault="00690885" w:rsidP="003E442F">
      <w:pPr>
        <w:ind w:firstLine="720"/>
        <w:jc w:val="both"/>
        <w:rPr>
          <w:rFonts w:asciiTheme="majorHAnsi" w:hAnsiTheme="majorHAnsi"/>
          <w:sz w:val="28"/>
          <w:szCs w:val="28"/>
        </w:rPr>
      </w:pPr>
      <w:r w:rsidRPr="003E442F">
        <w:rPr>
          <w:rFonts w:asciiTheme="majorHAnsi" w:hAnsiTheme="majorHAnsi"/>
          <w:sz w:val="28"/>
          <w:szCs w:val="28"/>
        </w:rPr>
        <w:t>Ce dernier formait opposition le 09 Février 2017 contre ladite ordonnance d’injonction devant le Tribunal de Grande Instance de Tillabéri, lequel par décision N°11 en date du 30 Mars 2017 se déclare incompétent au profit du Tribunal de Grande Instance Hors Classe de Niamey.</w:t>
      </w:r>
    </w:p>
    <w:p w:rsidR="00690885" w:rsidRPr="003E442F" w:rsidRDefault="00690885" w:rsidP="003E442F">
      <w:pPr>
        <w:ind w:firstLine="720"/>
        <w:jc w:val="both"/>
        <w:rPr>
          <w:rFonts w:asciiTheme="majorHAnsi" w:hAnsiTheme="majorHAnsi"/>
          <w:sz w:val="28"/>
          <w:szCs w:val="28"/>
        </w:rPr>
      </w:pPr>
      <w:r w:rsidRPr="003E442F">
        <w:rPr>
          <w:rFonts w:asciiTheme="majorHAnsi" w:hAnsiTheme="majorHAnsi"/>
          <w:sz w:val="28"/>
          <w:szCs w:val="28"/>
        </w:rPr>
        <w:t xml:space="preserve">Le 27 Septembre 2017, HASSANE BOMBOUA interjeta appel contre la dite décision tandis que par requête avec communication de pièce en date du 04 Avril 2017 N’DIAYE MOUSSA MALAMINE saisissait le Tribunal de commerce et sollicitait la condamnation </w:t>
      </w:r>
      <w:r w:rsidR="00070169" w:rsidRPr="003E442F">
        <w:rPr>
          <w:rFonts w:asciiTheme="majorHAnsi" w:hAnsiTheme="majorHAnsi"/>
          <w:sz w:val="28"/>
          <w:szCs w:val="28"/>
        </w:rPr>
        <w:t xml:space="preserve">de </w:t>
      </w:r>
      <w:r w:rsidRPr="003E442F">
        <w:rPr>
          <w:rFonts w:asciiTheme="majorHAnsi" w:hAnsiTheme="majorHAnsi"/>
          <w:sz w:val="28"/>
          <w:szCs w:val="28"/>
        </w:rPr>
        <w:t>HASSANE BOMBOUA au paiement de la somme de 18 851 173,5 FCFA à titre de créances affectées aux exécutions de trois gérances d’affaires ; </w:t>
      </w:r>
    </w:p>
    <w:p w:rsidR="00690885" w:rsidRPr="003E442F" w:rsidRDefault="009F1539" w:rsidP="003E442F">
      <w:pPr>
        <w:ind w:firstLine="720"/>
        <w:jc w:val="both"/>
        <w:rPr>
          <w:rFonts w:asciiTheme="majorHAnsi" w:hAnsiTheme="majorHAnsi"/>
          <w:sz w:val="28"/>
          <w:szCs w:val="28"/>
        </w:rPr>
      </w:pPr>
      <w:r>
        <w:rPr>
          <w:rFonts w:asciiTheme="majorHAnsi" w:hAnsiTheme="majorHAnsi"/>
          <w:sz w:val="28"/>
          <w:szCs w:val="28"/>
        </w:rPr>
        <w:t>A</w:t>
      </w:r>
      <w:r w:rsidR="00690885" w:rsidRPr="003E442F">
        <w:rPr>
          <w:rFonts w:asciiTheme="majorHAnsi" w:hAnsiTheme="majorHAnsi"/>
          <w:sz w:val="28"/>
          <w:szCs w:val="28"/>
        </w:rPr>
        <w:t>insi MOUSSA N’DIAYE justifie son action en justice par l’inexécution par HASSANE BOMBOUA de sa part d’obligation consistant au paiement des ses honoraires dans le cadre de leur relation d’affaire ;</w:t>
      </w:r>
    </w:p>
    <w:p w:rsidR="00690885" w:rsidRPr="003E442F" w:rsidRDefault="00690885" w:rsidP="003E442F">
      <w:pPr>
        <w:ind w:firstLine="720"/>
        <w:jc w:val="both"/>
        <w:rPr>
          <w:rFonts w:asciiTheme="majorHAnsi" w:hAnsiTheme="majorHAnsi"/>
          <w:sz w:val="28"/>
          <w:szCs w:val="28"/>
        </w:rPr>
      </w:pPr>
      <w:r w:rsidRPr="003E442F">
        <w:rPr>
          <w:rFonts w:asciiTheme="majorHAnsi" w:hAnsiTheme="majorHAnsi"/>
          <w:sz w:val="28"/>
          <w:szCs w:val="28"/>
        </w:rPr>
        <w:t xml:space="preserve">Selon lui ils sont liés par un contrat </w:t>
      </w:r>
      <w:r w:rsidR="003F239C" w:rsidRPr="003E442F">
        <w:rPr>
          <w:rFonts w:asciiTheme="majorHAnsi" w:hAnsiTheme="majorHAnsi"/>
          <w:sz w:val="28"/>
          <w:szCs w:val="28"/>
        </w:rPr>
        <w:t xml:space="preserve">de prestation de service </w:t>
      </w:r>
      <w:r w:rsidRPr="003E442F">
        <w:rPr>
          <w:rFonts w:asciiTheme="majorHAnsi" w:hAnsiTheme="majorHAnsi"/>
          <w:sz w:val="28"/>
          <w:szCs w:val="28"/>
        </w:rPr>
        <w:t>et c’était dans le cadre de l’exécution dudit contrat qu’il avait effectué trois gérance</w:t>
      </w:r>
      <w:r w:rsidR="00CC72ED">
        <w:rPr>
          <w:rFonts w:asciiTheme="majorHAnsi" w:hAnsiTheme="majorHAnsi"/>
          <w:sz w:val="28"/>
          <w:szCs w:val="28"/>
        </w:rPr>
        <w:t>s</w:t>
      </w:r>
      <w:r w:rsidRPr="003E442F">
        <w:rPr>
          <w:rFonts w:asciiTheme="majorHAnsi" w:hAnsiTheme="majorHAnsi"/>
          <w:sz w:val="28"/>
          <w:szCs w:val="28"/>
        </w:rPr>
        <w:t xml:space="preserve"> à HASSAN BOMBOUA qui refusait de payer le montant correspondant ; </w:t>
      </w:r>
    </w:p>
    <w:p w:rsidR="00690885" w:rsidRPr="003E442F" w:rsidRDefault="00690885" w:rsidP="003E442F">
      <w:pPr>
        <w:ind w:firstLine="720"/>
        <w:jc w:val="both"/>
        <w:rPr>
          <w:rFonts w:asciiTheme="majorHAnsi" w:hAnsiTheme="majorHAnsi"/>
          <w:sz w:val="28"/>
          <w:szCs w:val="28"/>
        </w:rPr>
      </w:pPr>
      <w:r w:rsidRPr="003E442F">
        <w:rPr>
          <w:rFonts w:asciiTheme="majorHAnsi" w:hAnsiTheme="majorHAnsi"/>
          <w:sz w:val="28"/>
          <w:szCs w:val="28"/>
        </w:rPr>
        <w:t>HASSANE BOMBOUA  expliquait que c’était plutôt celui ci  qui lui doit la somme de 320 000 FCFA représentant le total des montants qu’il  avait empruntés auprès de lui dans le cadre de l’installation de son cabinet ;</w:t>
      </w:r>
    </w:p>
    <w:p w:rsidR="00690885" w:rsidRPr="003E442F" w:rsidRDefault="00690885" w:rsidP="003E442F">
      <w:pPr>
        <w:ind w:firstLine="720"/>
        <w:jc w:val="both"/>
        <w:rPr>
          <w:rFonts w:asciiTheme="majorHAnsi" w:hAnsiTheme="majorHAnsi"/>
          <w:sz w:val="28"/>
          <w:szCs w:val="28"/>
        </w:rPr>
      </w:pPr>
      <w:r w:rsidRPr="003E442F">
        <w:rPr>
          <w:rFonts w:asciiTheme="majorHAnsi" w:hAnsiTheme="majorHAnsi"/>
          <w:sz w:val="28"/>
          <w:szCs w:val="28"/>
        </w:rPr>
        <w:t>Selon lui c’était à sa grande surprise que N’DIAYE MOUSSA MALAMINE saisissait le Président du Tribunal de Grande Instance de Tillabéri  pour avoir une ordonnance d’injonct</w:t>
      </w:r>
      <w:r w:rsidR="009F1539">
        <w:rPr>
          <w:rFonts w:asciiTheme="majorHAnsi" w:hAnsiTheme="majorHAnsi"/>
          <w:sz w:val="28"/>
          <w:szCs w:val="28"/>
        </w:rPr>
        <w:t xml:space="preserve">ion de payer la somme de </w:t>
      </w:r>
      <w:r w:rsidR="009F1539" w:rsidRPr="00A41C5B">
        <w:rPr>
          <w:rFonts w:asciiTheme="majorHAnsi" w:hAnsiTheme="majorHAnsi"/>
          <w:sz w:val="28"/>
          <w:szCs w:val="28"/>
        </w:rPr>
        <w:t>5.794.</w:t>
      </w:r>
      <w:r w:rsidR="00A41C5B">
        <w:rPr>
          <w:rFonts w:asciiTheme="majorHAnsi" w:hAnsiTheme="majorHAnsi"/>
          <w:sz w:val="28"/>
          <w:szCs w:val="28"/>
        </w:rPr>
        <w:t>509</w:t>
      </w:r>
      <w:r w:rsidRPr="003E442F">
        <w:rPr>
          <w:rFonts w:asciiTheme="majorHAnsi" w:hAnsiTheme="majorHAnsi"/>
          <w:sz w:val="28"/>
          <w:szCs w:val="28"/>
        </w:rPr>
        <w:t> </w:t>
      </w:r>
      <w:r w:rsidR="009F1539">
        <w:rPr>
          <w:rFonts w:asciiTheme="majorHAnsi" w:hAnsiTheme="majorHAnsi"/>
          <w:sz w:val="28"/>
          <w:szCs w:val="28"/>
        </w:rPr>
        <w:t xml:space="preserve"> </w:t>
      </w:r>
      <w:r w:rsidRPr="003E442F">
        <w:rPr>
          <w:rFonts w:asciiTheme="majorHAnsi" w:hAnsiTheme="majorHAnsi"/>
          <w:sz w:val="28"/>
          <w:szCs w:val="28"/>
        </w:rPr>
        <w:t>contre laquelle il s’est opposé ;</w:t>
      </w:r>
    </w:p>
    <w:p w:rsidR="00690885" w:rsidRPr="003E442F" w:rsidRDefault="00690885" w:rsidP="00690885">
      <w:pPr>
        <w:jc w:val="both"/>
        <w:rPr>
          <w:rFonts w:asciiTheme="majorHAnsi" w:hAnsiTheme="majorHAnsi"/>
          <w:sz w:val="28"/>
          <w:szCs w:val="28"/>
        </w:rPr>
      </w:pPr>
      <w:r w:rsidRPr="003E442F">
        <w:rPr>
          <w:rFonts w:asciiTheme="majorHAnsi" w:hAnsiTheme="majorHAnsi"/>
          <w:sz w:val="28"/>
          <w:szCs w:val="28"/>
        </w:rPr>
        <w:t xml:space="preserve"> </w:t>
      </w:r>
      <w:r w:rsidR="003E442F">
        <w:rPr>
          <w:rFonts w:asciiTheme="majorHAnsi" w:hAnsiTheme="majorHAnsi"/>
          <w:sz w:val="28"/>
          <w:szCs w:val="28"/>
        </w:rPr>
        <w:tab/>
      </w:r>
      <w:r w:rsidRPr="003E442F">
        <w:rPr>
          <w:rFonts w:asciiTheme="majorHAnsi" w:hAnsiTheme="majorHAnsi"/>
          <w:sz w:val="28"/>
          <w:szCs w:val="28"/>
        </w:rPr>
        <w:t xml:space="preserve">HASSANE BOMBOUA soulève en la forme l’incompétence du tribunal de commerce de Niamey au profit du Tribunal de Tillabéri aux motifs qu’il est </w:t>
      </w:r>
      <w:r w:rsidRPr="003E442F">
        <w:rPr>
          <w:rFonts w:asciiTheme="majorHAnsi" w:hAnsiTheme="majorHAnsi"/>
          <w:sz w:val="28"/>
          <w:szCs w:val="28"/>
        </w:rPr>
        <w:lastRenderedPageBreak/>
        <w:t>régulièrement domicilié à Torodi et l’exception de litispendance et de connexité la procédure étant pendante devant la cour d’appel  de Niamey ;</w:t>
      </w:r>
    </w:p>
    <w:p w:rsidR="00690885" w:rsidRPr="003E442F" w:rsidRDefault="00690885" w:rsidP="003E442F">
      <w:pPr>
        <w:ind w:firstLine="720"/>
        <w:jc w:val="both"/>
        <w:rPr>
          <w:rFonts w:asciiTheme="majorHAnsi" w:hAnsiTheme="majorHAnsi"/>
          <w:sz w:val="28"/>
          <w:szCs w:val="28"/>
        </w:rPr>
      </w:pPr>
      <w:r w:rsidRPr="003E442F">
        <w:rPr>
          <w:rFonts w:asciiTheme="majorHAnsi" w:hAnsiTheme="majorHAnsi"/>
          <w:sz w:val="28"/>
          <w:szCs w:val="28"/>
        </w:rPr>
        <w:t xml:space="preserve">Quand au fond, HASSANE BOMBOUA soutient que MOUSSA N’DIAYE MALAMINE n’apporte ni la preuve des prestations ni celle de la créance encore moins celle desdites prestations ; </w:t>
      </w:r>
    </w:p>
    <w:p w:rsidR="008B5C5C" w:rsidRPr="003E442F" w:rsidRDefault="008B5C5C" w:rsidP="003E442F">
      <w:pPr>
        <w:jc w:val="center"/>
        <w:rPr>
          <w:rFonts w:asciiTheme="majorHAnsi" w:eastAsiaTheme="minorHAnsi" w:hAnsiTheme="majorHAnsi" w:cs="Times New Roman"/>
          <w:b/>
          <w:sz w:val="28"/>
          <w:szCs w:val="28"/>
          <w:u w:val="single"/>
        </w:rPr>
      </w:pPr>
      <w:r w:rsidRPr="003E442F">
        <w:rPr>
          <w:rFonts w:asciiTheme="majorHAnsi" w:eastAsiaTheme="minorHAnsi" w:hAnsiTheme="majorHAnsi" w:cs="Times New Roman"/>
          <w:b/>
          <w:sz w:val="28"/>
          <w:szCs w:val="28"/>
          <w:u w:val="single"/>
        </w:rPr>
        <w:t>DISCUSSION</w:t>
      </w:r>
    </w:p>
    <w:p w:rsidR="008B5C5C" w:rsidRPr="003E442F" w:rsidRDefault="008B5C5C" w:rsidP="008B5C5C">
      <w:pPr>
        <w:jc w:val="center"/>
        <w:rPr>
          <w:rFonts w:asciiTheme="majorHAnsi" w:eastAsiaTheme="minorHAnsi" w:hAnsiTheme="majorHAnsi" w:cs="Times New Roman"/>
          <w:b/>
          <w:sz w:val="28"/>
          <w:szCs w:val="28"/>
          <w:u w:val="single"/>
        </w:rPr>
      </w:pPr>
      <w:r w:rsidRPr="003E442F">
        <w:rPr>
          <w:rFonts w:asciiTheme="majorHAnsi" w:eastAsiaTheme="minorHAnsi" w:hAnsiTheme="majorHAnsi" w:cs="Times New Roman"/>
          <w:b/>
          <w:sz w:val="28"/>
          <w:szCs w:val="28"/>
          <w:u w:val="single"/>
        </w:rPr>
        <w:t>En la forme</w:t>
      </w:r>
    </w:p>
    <w:p w:rsidR="003178BB" w:rsidRPr="003E442F" w:rsidRDefault="009109AF" w:rsidP="003E442F">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t>A</w:t>
      </w:r>
      <w:r w:rsidR="00A97F9B" w:rsidRPr="003E442F">
        <w:rPr>
          <w:rFonts w:asciiTheme="majorHAnsi" w:eastAsiaTheme="minorHAnsi" w:hAnsiTheme="majorHAnsi" w:cs="Times New Roman"/>
          <w:sz w:val="28"/>
          <w:szCs w:val="28"/>
        </w:rPr>
        <w:t>ttendu</w:t>
      </w:r>
      <w:r w:rsidRPr="003E442F">
        <w:rPr>
          <w:rFonts w:asciiTheme="majorHAnsi" w:eastAsiaTheme="minorHAnsi" w:hAnsiTheme="majorHAnsi" w:cs="Times New Roman"/>
          <w:sz w:val="28"/>
          <w:szCs w:val="28"/>
        </w:rPr>
        <w:t xml:space="preserve"> que MOUSSA N’DIAYE </w:t>
      </w:r>
      <w:r w:rsidR="0039674F">
        <w:rPr>
          <w:rFonts w:asciiTheme="majorHAnsi" w:eastAsiaTheme="minorHAnsi" w:hAnsiTheme="majorHAnsi" w:cs="Times New Roman"/>
          <w:sz w:val="28"/>
          <w:szCs w:val="28"/>
        </w:rPr>
        <w:t>MALAMINE</w:t>
      </w:r>
      <w:r w:rsidR="00BF7DA0" w:rsidRPr="003E442F">
        <w:rPr>
          <w:rFonts w:asciiTheme="majorHAnsi" w:eastAsiaTheme="minorHAnsi" w:hAnsiTheme="majorHAnsi" w:cs="Times New Roman"/>
          <w:sz w:val="28"/>
          <w:szCs w:val="28"/>
        </w:rPr>
        <w:t xml:space="preserve"> se présente lui-même à l’audience tandis que HASSANE BOMBOUA est représenté à l’audience par</w:t>
      </w:r>
      <w:r w:rsidR="00EE72E4" w:rsidRPr="003E442F">
        <w:rPr>
          <w:rFonts w:asciiTheme="majorHAnsi" w:eastAsiaTheme="minorHAnsi" w:hAnsiTheme="majorHAnsi" w:cs="Times New Roman"/>
          <w:sz w:val="28"/>
          <w:szCs w:val="28"/>
        </w:rPr>
        <w:t xml:space="preserve"> Maitre HAROUNA ISSOUFOU de</w:t>
      </w:r>
      <w:r w:rsidR="00BF7DA0" w:rsidRPr="003E442F">
        <w:rPr>
          <w:rFonts w:asciiTheme="majorHAnsi" w:eastAsiaTheme="minorHAnsi" w:hAnsiTheme="majorHAnsi" w:cs="Times New Roman"/>
          <w:sz w:val="28"/>
          <w:szCs w:val="28"/>
        </w:rPr>
        <w:t xml:space="preserve"> la SCPA </w:t>
      </w:r>
      <w:r w:rsidR="00C071C9" w:rsidRPr="003E442F">
        <w:rPr>
          <w:rFonts w:asciiTheme="majorHAnsi" w:eastAsiaTheme="minorHAnsi" w:hAnsiTheme="majorHAnsi" w:cs="Times New Roman"/>
          <w:sz w:val="28"/>
          <w:szCs w:val="28"/>
        </w:rPr>
        <w:t>BNI ;</w:t>
      </w:r>
      <w:r w:rsidR="008B5C5C" w:rsidRPr="003E442F">
        <w:rPr>
          <w:rFonts w:asciiTheme="majorHAnsi" w:eastAsiaTheme="minorHAnsi" w:hAnsiTheme="majorHAnsi" w:cs="Times New Roman"/>
          <w:sz w:val="28"/>
          <w:szCs w:val="28"/>
        </w:rPr>
        <w:tab/>
      </w:r>
    </w:p>
    <w:p w:rsidR="008B5C5C" w:rsidRPr="003E442F" w:rsidRDefault="00C071C9" w:rsidP="003E442F">
      <w:pPr>
        <w:ind w:firstLine="720"/>
        <w:jc w:val="both"/>
        <w:rPr>
          <w:rFonts w:asciiTheme="majorHAnsi" w:eastAsiaTheme="minorHAnsi" w:hAnsiTheme="majorHAnsi" w:cs="Times New Roman"/>
          <w:sz w:val="28"/>
          <w:szCs w:val="28"/>
        </w:rPr>
      </w:pPr>
      <w:r>
        <w:rPr>
          <w:rFonts w:asciiTheme="majorHAnsi" w:eastAsiaTheme="minorHAnsi" w:hAnsiTheme="majorHAnsi" w:cs="Times New Roman"/>
          <w:sz w:val="28"/>
          <w:szCs w:val="28"/>
        </w:rPr>
        <w:t>Q</w:t>
      </w:r>
      <w:r w:rsidR="008B5C5C" w:rsidRPr="003E442F">
        <w:rPr>
          <w:rFonts w:asciiTheme="majorHAnsi" w:eastAsiaTheme="minorHAnsi" w:hAnsiTheme="majorHAnsi" w:cs="Times New Roman"/>
          <w:sz w:val="28"/>
          <w:szCs w:val="28"/>
        </w:rPr>
        <w:t>u’il ya lieu de statuer contradictoirement à leur égard ;</w:t>
      </w:r>
    </w:p>
    <w:p w:rsidR="008B5C5C" w:rsidRPr="003E442F" w:rsidRDefault="005D64A3" w:rsidP="0039674F">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t>Attendu que HASSANE BOMBOUA</w:t>
      </w:r>
      <w:r w:rsidR="008B5C5C" w:rsidRPr="003E442F">
        <w:rPr>
          <w:rFonts w:asciiTheme="majorHAnsi" w:eastAsiaTheme="minorHAnsi" w:hAnsiTheme="majorHAnsi" w:cs="Times New Roman"/>
          <w:sz w:val="28"/>
          <w:szCs w:val="28"/>
        </w:rPr>
        <w:t xml:space="preserve"> soutient en la forme l’incompétence du tribunal de c</w:t>
      </w:r>
      <w:r w:rsidRPr="003E442F">
        <w:rPr>
          <w:rFonts w:asciiTheme="majorHAnsi" w:eastAsiaTheme="minorHAnsi" w:hAnsiTheme="majorHAnsi" w:cs="Times New Roman"/>
          <w:sz w:val="28"/>
          <w:szCs w:val="28"/>
        </w:rPr>
        <w:t xml:space="preserve">ommerce, </w:t>
      </w:r>
      <w:r w:rsidR="008B5C5C" w:rsidRPr="003E442F">
        <w:rPr>
          <w:rFonts w:asciiTheme="majorHAnsi" w:eastAsiaTheme="minorHAnsi" w:hAnsiTheme="majorHAnsi" w:cs="Times New Roman"/>
          <w:sz w:val="28"/>
          <w:szCs w:val="28"/>
        </w:rPr>
        <w:t>la litispendance et la conn</w:t>
      </w:r>
      <w:r w:rsidR="00EE72E4" w:rsidRPr="003E442F">
        <w:rPr>
          <w:rFonts w:asciiTheme="majorHAnsi" w:eastAsiaTheme="minorHAnsi" w:hAnsiTheme="majorHAnsi" w:cs="Times New Roman"/>
          <w:sz w:val="28"/>
          <w:szCs w:val="28"/>
        </w:rPr>
        <w:t xml:space="preserve">exité </w:t>
      </w:r>
      <w:r w:rsidR="008B5C5C" w:rsidRPr="003E442F">
        <w:rPr>
          <w:rFonts w:asciiTheme="majorHAnsi" w:eastAsiaTheme="minorHAnsi" w:hAnsiTheme="majorHAnsi" w:cs="Times New Roman"/>
          <w:sz w:val="28"/>
          <w:szCs w:val="28"/>
        </w:rPr>
        <w:t xml:space="preserve">  avant de soutenir au fond que les mo</w:t>
      </w:r>
      <w:r w:rsidR="00B218C4" w:rsidRPr="003E442F">
        <w:rPr>
          <w:rFonts w:asciiTheme="majorHAnsi" w:eastAsiaTheme="minorHAnsi" w:hAnsiTheme="majorHAnsi" w:cs="Times New Roman"/>
          <w:sz w:val="28"/>
          <w:szCs w:val="28"/>
        </w:rPr>
        <w:t xml:space="preserve">yens invoqués par </w:t>
      </w:r>
      <w:r w:rsidR="0039674F">
        <w:rPr>
          <w:rFonts w:asciiTheme="majorHAnsi" w:eastAsiaTheme="minorHAnsi" w:hAnsiTheme="majorHAnsi" w:cs="Times New Roman"/>
          <w:sz w:val="28"/>
          <w:szCs w:val="28"/>
        </w:rPr>
        <w:t xml:space="preserve">MOUSSA N’DIAYE MALAMINE </w:t>
      </w:r>
      <w:r w:rsidR="008B5C5C" w:rsidRPr="003E442F">
        <w:rPr>
          <w:rFonts w:asciiTheme="majorHAnsi" w:eastAsiaTheme="minorHAnsi" w:hAnsiTheme="majorHAnsi" w:cs="Times New Roman"/>
          <w:sz w:val="28"/>
          <w:szCs w:val="28"/>
        </w:rPr>
        <w:t>sont infondés ;</w:t>
      </w:r>
    </w:p>
    <w:p w:rsidR="00D47102" w:rsidRPr="003E442F" w:rsidRDefault="00D47102" w:rsidP="00D47102">
      <w:pPr>
        <w:ind w:firstLine="720"/>
        <w:jc w:val="center"/>
        <w:rPr>
          <w:rFonts w:asciiTheme="majorHAnsi" w:eastAsiaTheme="minorHAnsi" w:hAnsiTheme="majorHAnsi" w:cs="Times New Roman"/>
          <w:b/>
          <w:sz w:val="28"/>
          <w:szCs w:val="28"/>
          <w:u w:val="single"/>
        </w:rPr>
      </w:pPr>
      <w:r w:rsidRPr="003E442F">
        <w:rPr>
          <w:rFonts w:asciiTheme="majorHAnsi" w:eastAsiaTheme="minorHAnsi" w:hAnsiTheme="majorHAnsi" w:cs="Times New Roman"/>
          <w:b/>
          <w:sz w:val="28"/>
          <w:szCs w:val="28"/>
          <w:u w:val="single"/>
        </w:rPr>
        <w:t>Sur la compétence</w:t>
      </w:r>
    </w:p>
    <w:p w:rsidR="00E456E1" w:rsidRPr="003E442F" w:rsidRDefault="00D47102" w:rsidP="003E442F">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t>Attendu que HASSANE BOMBOUA</w:t>
      </w:r>
      <w:r w:rsidR="00E456E1" w:rsidRPr="003E442F">
        <w:rPr>
          <w:rFonts w:asciiTheme="majorHAnsi" w:eastAsiaTheme="minorHAnsi" w:hAnsiTheme="majorHAnsi" w:cs="Times New Roman"/>
          <w:sz w:val="28"/>
          <w:szCs w:val="28"/>
        </w:rPr>
        <w:t xml:space="preserve"> se fondant sur l’</w:t>
      </w:r>
      <w:r w:rsidR="00703556" w:rsidRPr="003E442F">
        <w:rPr>
          <w:rFonts w:asciiTheme="majorHAnsi" w:eastAsiaTheme="minorHAnsi" w:hAnsiTheme="majorHAnsi" w:cs="Times New Roman"/>
          <w:sz w:val="28"/>
          <w:szCs w:val="28"/>
        </w:rPr>
        <w:t>article 31</w:t>
      </w:r>
      <w:r w:rsidR="00E456E1" w:rsidRPr="003E442F">
        <w:rPr>
          <w:rFonts w:asciiTheme="majorHAnsi" w:eastAsiaTheme="minorHAnsi" w:hAnsiTheme="majorHAnsi" w:cs="Times New Roman"/>
          <w:sz w:val="28"/>
          <w:szCs w:val="28"/>
        </w:rPr>
        <w:t xml:space="preserve"> de la loi </w:t>
      </w:r>
      <w:r w:rsidR="00247BB7" w:rsidRPr="003E442F">
        <w:rPr>
          <w:rFonts w:asciiTheme="majorHAnsi" w:eastAsiaTheme="minorHAnsi" w:hAnsiTheme="majorHAnsi" w:cs="Times New Roman"/>
          <w:sz w:val="28"/>
          <w:szCs w:val="28"/>
        </w:rPr>
        <w:t>2015-08 du 10 Avril 2015,</w:t>
      </w:r>
      <w:r w:rsidRPr="003E442F">
        <w:rPr>
          <w:rFonts w:asciiTheme="majorHAnsi" w:eastAsiaTheme="minorHAnsi" w:hAnsiTheme="majorHAnsi" w:cs="Times New Roman"/>
          <w:sz w:val="28"/>
          <w:szCs w:val="28"/>
        </w:rPr>
        <w:t xml:space="preserve"> soulève l’incompétence du tribunal de commerce de Niamey</w:t>
      </w:r>
      <w:r w:rsidR="00CC7FA4" w:rsidRPr="003E442F">
        <w:rPr>
          <w:rFonts w:asciiTheme="majorHAnsi" w:eastAsiaTheme="minorHAnsi" w:hAnsiTheme="majorHAnsi" w:cs="Times New Roman"/>
          <w:sz w:val="28"/>
          <w:szCs w:val="28"/>
        </w:rPr>
        <w:t xml:space="preserve"> au profit du tribunal de grande instance hors classe de Tillabéri  aux motifs qu’il est régulièrement domicilié à Torodi</w:t>
      </w:r>
      <w:r w:rsidR="00E456E1" w:rsidRPr="003E442F">
        <w:rPr>
          <w:rFonts w:asciiTheme="majorHAnsi" w:eastAsiaTheme="minorHAnsi" w:hAnsiTheme="majorHAnsi" w:cs="Times New Roman"/>
          <w:sz w:val="28"/>
          <w:szCs w:val="28"/>
        </w:rPr>
        <w:t>, région de Tillabéri ;</w:t>
      </w:r>
      <w:r w:rsidR="00C966B0" w:rsidRPr="003E442F">
        <w:rPr>
          <w:rFonts w:asciiTheme="majorHAnsi" w:eastAsiaTheme="minorHAnsi" w:hAnsiTheme="majorHAnsi" w:cs="Times New Roman"/>
          <w:sz w:val="28"/>
          <w:szCs w:val="28"/>
        </w:rPr>
        <w:t xml:space="preserve"> qu’alors le tribunal devant lequel il est assigné n’est pas le tribunal de son domicile ;</w:t>
      </w:r>
    </w:p>
    <w:p w:rsidR="00C966B0" w:rsidRPr="003E442F" w:rsidRDefault="00C966B0" w:rsidP="003E442F">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t>Que MOUSSA N’DIAYE MALAMINE ne s’est pas prononcé sur cette exception d’incompétence ;</w:t>
      </w:r>
    </w:p>
    <w:p w:rsidR="00C966B0" w:rsidRPr="003E442F" w:rsidRDefault="00703556" w:rsidP="003E442F">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t>Attendu</w:t>
      </w:r>
      <w:r w:rsidR="004F5CB7" w:rsidRPr="003E442F">
        <w:rPr>
          <w:rFonts w:asciiTheme="majorHAnsi" w:eastAsiaTheme="minorHAnsi" w:hAnsiTheme="majorHAnsi" w:cs="Times New Roman"/>
          <w:sz w:val="28"/>
          <w:szCs w:val="28"/>
        </w:rPr>
        <w:t xml:space="preserve"> qu’aux termes de l’</w:t>
      </w:r>
      <w:r w:rsidRPr="003E442F">
        <w:rPr>
          <w:rFonts w:asciiTheme="majorHAnsi" w:eastAsiaTheme="minorHAnsi" w:hAnsiTheme="majorHAnsi" w:cs="Times New Roman"/>
          <w:sz w:val="28"/>
          <w:szCs w:val="28"/>
        </w:rPr>
        <w:t>article 31 de la loi N°2015-08 du 10 Avril 2015 « la compétence territoriale appartient au tribunal du do</w:t>
      </w:r>
      <w:r w:rsidR="002A6786" w:rsidRPr="003E442F">
        <w:rPr>
          <w:rFonts w:asciiTheme="majorHAnsi" w:eastAsiaTheme="minorHAnsi" w:hAnsiTheme="majorHAnsi" w:cs="Times New Roman"/>
          <w:sz w:val="28"/>
          <w:szCs w:val="28"/>
        </w:rPr>
        <w:t>micile réel ou élu du défendeur.. » ;</w:t>
      </w:r>
    </w:p>
    <w:p w:rsidR="002A6786" w:rsidRPr="003E442F" w:rsidRDefault="002A6786" w:rsidP="003E442F">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lastRenderedPageBreak/>
        <w:t>Qu’en l’espèce HASSANE BOMBOUA est régulièrement domicilié à Torodi, région de Tillabéri ;</w:t>
      </w:r>
    </w:p>
    <w:p w:rsidR="002A6786" w:rsidRPr="003E442F" w:rsidRDefault="002A6786" w:rsidP="003E442F">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t xml:space="preserve">Attendu cependant qu’aux termes </w:t>
      </w:r>
      <w:r w:rsidR="009F1539">
        <w:rPr>
          <w:rFonts w:asciiTheme="majorHAnsi" w:eastAsiaTheme="minorHAnsi" w:hAnsiTheme="majorHAnsi" w:cs="Times New Roman"/>
          <w:sz w:val="28"/>
          <w:szCs w:val="28"/>
        </w:rPr>
        <w:t>de l’article 1134 du code civil</w:t>
      </w:r>
      <w:r w:rsidRPr="003E442F">
        <w:rPr>
          <w:rFonts w:asciiTheme="majorHAnsi" w:eastAsiaTheme="minorHAnsi" w:hAnsiTheme="majorHAnsi" w:cs="Times New Roman"/>
          <w:sz w:val="28"/>
          <w:szCs w:val="28"/>
        </w:rPr>
        <w:t xml:space="preserve"> : « les conventions légalement formées tiennent lieu de loi à ceux qui les ont faites. </w:t>
      </w:r>
      <w:r w:rsidR="00906BF3" w:rsidRPr="003E442F">
        <w:rPr>
          <w:rFonts w:asciiTheme="majorHAnsi" w:eastAsiaTheme="minorHAnsi" w:hAnsiTheme="majorHAnsi" w:cs="Times New Roman"/>
          <w:sz w:val="28"/>
          <w:szCs w:val="28"/>
        </w:rPr>
        <w:t xml:space="preserve">Elles ne peuvent </w:t>
      </w:r>
      <w:r w:rsidR="00E04232" w:rsidRPr="003E442F">
        <w:rPr>
          <w:rFonts w:asciiTheme="majorHAnsi" w:eastAsiaTheme="minorHAnsi" w:hAnsiTheme="majorHAnsi" w:cs="Times New Roman"/>
          <w:sz w:val="28"/>
          <w:szCs w:val="28"/>
        </w:rPr>
        <w:t>être</w:t>
      </w:r>
      <w:r w:rsidR="00906BF3" w:rsidRPr="003E442F">
        <w:rPr>
          <w:rFonts w:asciiTheme="majorHAnsi" w:eastAsiaTheme="minorHAnsi" w:hAnsiTheme="majorHAnsi" w:cs="Times New Roman"/>
          <w:sz w:val="28"/>
          <w:szCs w:val="28"/>
        </w:rPr>
        <w:t xml:space="preserve"> révoquées que </w:t>
      </w:r>
      <w:r w:rsidR="00E04232" w:rsidRPr="003E442F">
        <w:rPr>
          <w:rFonts w:asciiTheme="majorHAnsi" w:eastAsiaTheme="minorHAnsi" w:hAnsiTheme="majorHAnsi" w:cs="Times New Roman"/>
          <w:sz w:val="28"/>
          <w:szCs w:val="28"/>
        </w:rPr>
        <w:t>de leur consentement mutuel, ou pour les causes que la loi autorise. Elles doivent être exécutées de bonne foi » ;</w:t>
      </w:r>
    </w:p>
    <w:p w:rsidR="00E04232" w:rsidRPr="003E442F" w:rsidRDefault="00E04232" w:rsidP="003E442F">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t xml:space="preserve">Attendu qu’il ressort de la convention des parties en l’occurrence </w:t>
      </w:r>
      <w:r w:rsidR="004D1EDE" w:rsidRPr="003E442F">
        <w:rPr>
          <w:rFonts w:asciiTheme="majorHAnsi" w:eastAsiaTheme="minorHAnsi" w:hAnsiTheme="majorHAnsi" w:cs="Times New Roman"/>
          <w:sz w:val="28"/>
          <w:szCs w:val="28"/>
        </w:rPr>
        <w:t>la convention de service N°009/07/15 du 21 juillet 2015</w:t>
      </w:r>
      <w:r w:rsidR="000F6E27" w:rsidRPr="003E442F">
        <w:rPr>
          <w:rFonts w:asciiTheme="majorHAnsi" w:eastAsiaTheme="minorHAnsi" w:hAnsiTheme="majorHAnsi" w:cs="Times New Roman"/>
          <w:sz w:val="28"/>
          <w:szCs w:val="28"/>
        </w:rPr>
        <w:t xml:space="preserve"> que les parties conviennent à l’</w:t>
      </w:r>
      <w:r w:rsidR="00D90358" w:rsidRPr="003E442F">
        <w:rPr>
          <w:rFonts w:asciiTheme="majorHAnsi" w:eastAsiaTheme="minorHAnsi" w:hAnsiTheme="majorHAnsi" w:cs="Times New Roman"/>
          <w:sz w:val="28"/>
          <w:szCs w:val="28"/>
        </w:rPr>
        <w:t>article 6 que « les parties s’</w:t>
      </w:r>
      <w:r w:rsidR="00594A79" w:rsidRPr="003E442F">
        <w:rPr>
          <w:rFonts w:asciiTheme="majorHAnsi" w:eastAsiaTheme="minorHAnsi" w:hAnsiTheme="majorHAnsi" w:cs="Times New Roman"/>
          <w:sz w:val="28"/>
          <w:szCs w:val="28"/>
        </w:rPr>
        <w:t>efforcent de résoudre par des négociations toutes contestations pouvant surgir à l’occasion de l’exécution et/ou de l’interprétation de la présente convention. En cas de non conciliation, les litiges seront défi</w:t>
      </w:r>
      <w:r w:rsidR="002E1248" w:rsidRPr="003E442F">
        <w:rPr>
          <w:rFonts w:asciiTheme="majorHAnsi" w:eastAsiaTheme="minorHAnsi" w:hAnsiTheme="majorHAnsi" w:cs="Times New Roman"/>
          <w:sz w:val="28"/>
          <w:szCs w:val="28"/>
        </w:rPr>
        <w:t>nitivement tranchés par le tribunal de première instance hors classe de Niamey » ;</w:t>
      </w:r>
    </w:p>
    <w:p w:rsidR="002E1248" w:rsidRPr="003E442F" w:rsidRDefault="002E1248" w:rsidP="003E442F">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t xml:space="preserve">Qu’il s’agit d’un litige entre deux </w:t>
      </w:r>
      <w:r w:rsidR="00522527" w:rsidRPr="003E442F">
        <w:rPr>
          <w:rFonts w:asciiTheme="majorHAnsi" w:eastAsiaTheme="minorHAnsi" w:hAnsiTheme="majorHAnsi" w:cs="Times New Roman"/>
          <w:sz w:val="28"/>
          <w:szCs w:val="28"/>
        </w:rPr>
        <w:t>commerçants</w:t>
      </w:r>
      <w:r w:rsidR="00C83A02" w:rsidRPr="003E442F">
        <w:rPr>
          <w:rFonts w:asciiTheme="majorHAnsi" w:eastAsiaTheme="minorHAnsi" w:hAnsiTheme="majorHAnsi" w:cs="Times New Roman"/>
          <w:sz w:val="28"/>
          <w:szCs w:val="28"/>
        </w:rPr>
        <w:t xml:space="preserve"> né dans le cadre de leur relation commerciale</w:t>
      </w:r>
      <w:r w:rsidR="00AC76E1" w:rsidRPr="003E442F">
        <w:rPr>
          <w:rFonts w:asciiTheme="majorHAnsi" w:eastAsiaTheme="minorHAnsi" w:hAnsiTheme="majorHAnsi" w:cs="Times New Roman"/>
          <w:sz w:val="28"/>
          <w:szCs w:val="28"/>
        </w:rPr>
        <w:t>, que le tribunal de grande instance hors classe de Niamey s’est dessaisi en faveur du tribunal de commerce de Niamey</w:t>
      </w:r>
      <w:r w:rsidRPr="003E442F">
        <w:rPr>
          <w:rFonts w:asciiTheme="majorHAnsi" w:eastAsiaTheme="minorHAnsi" w:hAnsiTheme="majorHAnsi" w:cs="Times New Roman"/>
          <w:sz w:val="28"/>
          <w:szCs w:val="28"/>
        </w:rPr>
        <w:t xml:space="preserve"> et qu</w:t>
      </w:r>
      <w:r w:rsidR="00790401" w:rsidRPr="003E442F">
        <w:rPr>
          <w:rFonts w:asciiTheme="majorHAnsi" w:eastAsiaTheme="minorHAnsi" w:hAnsiTheme="majorHAnsi" w:cs="Times New Roman"/>
          <w:sz w:val="28"/>
          <w:szCs w:val="28"/>
        </w:rPr>
        <w:t>’il ya eu échec de la phase de conciliation ;</w:t>
      </w:r>
    </w:p>
    <w:p w:rsidR="00C83A02" w:rsidRPr="003E442F" w:rsidRDefault="00C83A02" w:rsidP="003E442F">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t>Qu’il ya lieu de dire que le tribunal de commerce est bien compétent conformément à l’accord des parties ;</w:t>
      </w:r>
    </w:p>
    <w:p w:rsidR="00C67D47" w:rsidRPr="003E442F" w:rsidRDefault="00C67D47" w:rsidP="003E442F">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t>Attendu que MOUSSA N’DIAYE MALAMINE a saisi le tribunal dans les formes et délais légaux ;</w:t>
      </w:r>
    </w:p>
    <w:p w:rsidR="00C67D47" w:rsidRPr="003E442F" w:rsidRDefault="00C67D47" w:rsidP="003E442F">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t>Qu’il ya lieu de recevoir sa requête comme étant régulière en la forme ;</w:t>
      </w:r>
    </w:p>
    <w:p w:rsidR="008B5C5C" w:rsidRPr="003E442F" w:rsidRDefault="008B5C5C" w:rsidP="00305752">
      <w:pPr>
        <w:jc w:val="center"/>
        <w:rPr>
          <w:rFonts w:asciiTheme="majorHAnsi" w:hAnsiTheme="majorHAnsi" w:cs="Arial"/>
          <w:b/>
          <w:sz w:val="28"/>
          <w:szCs w:val="28"/>
          <w:u w:val="single"/>
        </w:rPr>
      </w:pPr>
      <w:r w:rsidRPr="003E442F">
        <w:rPr>
          <w:rFonts w:asciiTheme="majorHAnsi" w:hAnsiTheme="majorHAnsi" w:cs="Arial"/>
          <w:b/>
          <w:sz w:val="28"/>
          <w:szCs w:val="28"/>
          <w:u w:val="single"/>
        </w:rPr>
        <w:t>Sur l’exception de litispendance et de connexité</w:t>
      </w:r>
    </w:p>
    <w:p w:rsidR="008B5C5C" w:rsidRPr="003E442F" w:rsidRDefault="008B5C5C" w:rsidP="00FA3419">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t xml:space="preserve">Attendu que </w:t>
      </w:r>
      <w:r w:rsidR="00FA3419" w:rsidRPr="003E442F">
        <w:rPr>
          <w:rFonts w:asciiTheme="majorHAnsi" w:eastAsiaTheme="minorHAnsi" w:hAnsiTheme="majorHAnsi" w:cs="Times New Roman"/>
          <w:sz w:val="28"/>
          <w:szCs w:val="28"/>
        </w:rPr>
        <w:t>HASSANE BOMBOUA soulève l’exception de litispendance aux m</w:t>
      </w:r>
      <w:r w:rsidR="00AD47CA" w:rsidRPr="003E442F">
        <w:rPr>
          <w:rFonts w:asciiTheme="majorHAnsi" w:eastAsiaTheme="minorHAnsi" w:hAnsiTheme="majorHAnsi" w:cs="Times New Roman"/>
          <w:sz w:val="28"/>
          <w:szCs w:val="28"/>
        </w:rPr>
        <w:t xml:space="preserve">otifs </w:t>
      </w:r>
      <w:r w:rsidR="00226208" w:rsidRPr="003E442F">
        <w:rPr>
          <w:rFonts w:asciiTheme="majorHAnsi" w:eastAsiaTheme="minorHAnsi" w:hAnsiTheme="majorHAnsi" w:cs="Times New Roman"/>
          <w:sz w:val="28"/>
          <w:szCs w:val="28"/>
        </w:rPr>
        <w:t>qu</w:t>
      </w:r>
      <w:r w:rsidR="000503DE" w:rsidRPr="003E442F">
        <w:rPr>
          <w:rFonts w:asciiTheme="majorHAnsi" w:eastAsiaTheme="minorHAnsi" w:hAnsiTheme="majorHAnsi" w:cs="Times New Roman"/>
          <w:sz w:val="28"/>
          <w:szCs w:val="28"/>
        </w:rPr>
        <w:t xml:space="preserve">’une des prétendues </w:t>
      </w:r>
      <w:r w:rsidR="008B3520" w:rsidRPr="003E442F">
        <w:rPr>
          <w:rFonts w:asciiTheme="majorHAnsi" w:eastAsiaTheme="minorHAnsi" w:hAnsiTheme="majorHAnsi" w:cs="Times New Roman"/>
          <w:sz w:val="28"/>
          <w:szCs w:val="28"/>
        </w:rPr>
        <w:t xml:space="preserve">demandes </w:t>
      </w:r>
      <w:r w:rsidR="000503DE" w:rsidRPr="003E442F">
        <w:rPr>
          <w:rFonts w:asciiTheme="majorHAnsi" w:eastAsiaTheme="minorHAnsi" w:hAnsiTheme="majorHAnsi" w:cs="Times New Roman"/>
          <w:sz w:val="28"/>
          <w:szCs w:val="28"/>
        </w:rPr>
        <w:t xml:space="preserve">de paiement a été déjà exposée dans la </w:t>
      </w:r>
      <w:r w:rsidR="009F0CED" w:rsidRPr="003E442F">
        <w:rPr>
          <w:rFonts w:asciiTheme="majorHAnsi" w:eastAsiaTheme="minorHAnsi" w:hAnsiTheme="majorHAnsi" w:cs="Times New Roman"/>
          <w:sz w:val="28"/>
          <w:szCs w:val="28"/>
        </w:rPr>
        <w:t>requête</w:t>
      </w:r>
      <w:r w:rsidR="000503DE" w:rsidRPr="003E442F">
        <w:rPr>
          <w:rFonts w:asciiTheme="majorHAnsi" w:eastAsiaTheme="minorHAnsi" w:hAnsiTheme="majorHAnsi" w:cs="Times New Roman"/>
          <w:sz w:val="28"/>
          <w:szCs w:val="28"/>
        </w:rPr>
        <w:t xml:space="preserve"> aux fins d’injonction de payer </w:t>
      </w:r>
      <w:r w:rsidR="009F0CED" w:rsidRPr="003E442F">
        <w:rPr>
          <w:rFonts w:asciiTheme="majorHAnsi" w:eastAsiaTheme="minorHAnsi" w:hAnsiTheme="majorHAnsi" w:cs="Times New Roman"/>
          <w:sz w:val="28"/>
          <w:szCs w:val="28"/>
        </w:rPr>
        <w:t>adressée</w:t>
      </w:r>
      <w:r w:rsidR="000503DE" w:rsidRPr="003E442F">
        <w:rPr>
          <w:rFonts w:asciiTheme="majorHAnsi" w:eastAsiaTheme="minorHAnsi" w:hAnsiTheme="majorHAnsi" w:cs="Times New Roman"/>
          <w:sz w:val="28"/>
          <w:szCs w:val="28"/>
        </w:rPr>
        <w:t xml:space="preserve"> au tribunal de grande instance de Tillabéri</w:t>
      </w:r>
      <w:r w:rsidR="009F0CED" w:rsidRPr="003E442F">
        <w:rPr>
          <w:rFonts w:asciiTheme="majorHAnsi" w:eastAsiaTheme="minorHAnsi" w:hAnsiTheme="majorHAnsi" w:cs="Times New Roman"/>
          <w:sz w:val="28"/>
          <w:szCs w:val="28"/>
        </w:rPr>
        <w:t xml:space="preserve"> et que ladite procédure est pendante à la cour d’appel de Niamey ;</w:t>
      </w:r>
    </w:p>
    <w:p w:rsidR="008B3520" w:rsidRPr="003E442F" w:rsidRDefault="008B3520" w:rsidP="00FA3419">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lastRenderedPageBreak/>
        <w:t xml:space="preserve">Que pour une bonne administration de la justice et pour éviter des décisions de justice contradictoire, le concluant sollicite qu’il plaise au tribunal  de se dessaisir au profit de la cour d’appel de Niamey conformément aux articles </w:t>
      </w:r>
      <w:r w:rsidR="00955249" w:rsidRPr="003E442F">
        <w:rPr>
          <w:rFonts w:asciiTheme="majorHAnsi" w:eastAsiaTheme="minorHAnsi" w:hAnsiTheme="majorHAnsi" w:cs="Times New Roman"/>
          <w:sz w:val="28"/>
          <w:szCs w:val="28"/>
        </w:rPr>
        <w:t xml:space="preserve">  123</w:t>
      </w:r>
      <w:r w:rsidR="00522527" w:rsidRPr="00522527">
        <w:rPr>
          <w:rFonts w:asciiTheme="majorHAnsi" w:eastAsiaTheme="minorHAnsi" w:hAnsiTheme="majorHAnsi" w:cs="Times New Roman"/>
          <w:sz w:val="28"/>
          <w:szCs w:val="28"/>
        </w:rPr>
        <w:t xml:space="preserve"> </w:t>
      </w:r>
      <w:r w:rsidR="00522527" w:rsidRPr="003E442F">
        <w:rPr>
          <w:rFonts w:asciiTheme="majorHAnsi" w:eastAsiaTheme="minorHAnsi" w:hAnsiTheme="majorHAnsi" w:cs="Times New Roman"/>
          <w:sz w:val="28"/>
          <w:szCs w:val="28"/>
        </w:rPr>
        <w:t>et</w:t>
      </w:r>
      <w:r w:rsidR="00522527">
        <w:rPr>
          <w:rFonts w:asciiTheme="majorHAnsi" w:eastAsiaTheme="minorHAnsi" w:hAnsiTheme="majorHAnsi" w:cs="Times New Roman"/>
          <w:sz w:val="28"/>
          <w:szCs w:val="28"/>
        </w:rPr>
        <w:t xml:space="preserve"> 124</w:t>
      </w:r>
      <w:r w:rsidR="00955249" w:rsidRPr="003E442F">
        <w:rPr>
          <w:rFonts w:asciiTheme="majorHAnsi" w:eastAsiaTheme="minorHAnsi" w:hAnsiTheme="majorHAnsi" w:cs="Times New Roman"/>
          <w:sz w:val="28"/>
          <w:szCs w:val="28"/>
        </w:rPr>
        <w:t xml:space="preserve"> du code de procédure civile ;</w:t>
      </w:r>
    </w:p>
    <w:p w:rsidR="00371C60" w:rsidRPr="003E442F" w:rsidRDefault="00955249" w:rsidP="003E442F">
      <w:pPr>
        <w:ind w:firstLine="720"/>
        <w:jc w:val="both"/>
        <w:rPr>
          <w:rFonts w:asciiTheme="majorHAnsi" w:eastAsiaTheme="minorHAnsi" w:hAnsiTheme="majorHAnsi" w:cs="Times New Roman"/>
          <w:sz w:val="28"/>
          <w:szCs w:val="28"/>
        </w:rPr>
      </w:pPr>
      <w:r w:rsidRPr="003E442F">
        <w:rPr>
          <w:rFonts w:asciiTheme="majorHAnsi" w:eastAsiaTheme="minorHAnsi" w:hAnsiTheme="majorHAnsi" w:cs="Times New Roman"/>
          <w:sz w:val="28"/>
          <w:szCs w:val="28"/>
        </w:rPr>
        <w:t>Que MOUSSA N’DIAYE MALAMANE ne se prononce</w:t>
      </w:r>
      <w:r w:rsidR="006B0660">
        <w:rPr>
          <w:rFonts w:asciiTheme="majorHAnsi" w:eastAsiaTheme="minorHAnsi" w:hAnsiTheme="majorHAnsi" w:cs="Times New Roman"/>
          <w:sz w:val="28"/>
          <w:szCs w:val="28"/>
        </w:rPr>
        <w:t xml:space="preserve"> pas</w:t>
      </w:r>
      <w:r w:rsidRPr="003E442F">
        <w:rPr>
          <w:rFonts w:asciiTheme="majorHAnsi" w:eastAsiaTheme="minorHAnsi" w:hAnsiTheme="majorHAnsi" w:cs="Times New Roman"/>
          <w:sz w:val="28"/>
          <w:szCs w:val="28"/>
        </w:rPr>
        <w:t xml:space="preserve"> sur cette demande</w:t>
      </w:r>
      <w:r w:rsidR="00352E1B" w:rsidRPr="003E442F">
        <w:rPr>
          <w:rFonts w:asciiTheme="majorHAnsi" w:eastAsiaTheme="minorHAnsi" w:hAnsiTheme="majorHAnsi" w:cs="Times New Roman"/>
          <w:sz w:val="28"/>
          <w:szCs w:val="28"/>
        </w:rPr>
        <w:t xml:space="preserve"> de HASSANE BOMBOUA ;</w:t>
      </w:r>
    </w:p>
    <w:p w:rsidR="008B5C5C" w:rsidRPr="003E442F" w:rsidRDefault="008B5C5C" w:rsidP="003E442F">
      <w:pPr>
        <w:autoSpaceDE w:val="0"/>
        <w:autoSpaceDN w:val="0"/>
        <w:adjustRightInd w:val="0"/>
        <w:spacing w:after="0"/>
        <w:ind w:firstLine="720"/>
        <w:jc w:val="both"/>
        <w:rPr>
          <w:rFonts w:asciiTheme="majorHAnsi" w:eastAsiaTheme="minorHAnsi" w:hAnsiTheme="majorHAnsi" w:cs="Times New Roman"/>
          <w:color w:val="231F20"/>
          <w:sz w:val="28"/>
          <w:szCs w:val="28"/>
          <w:lang w:eastAsia="en-US"/>
        </w:rPr>
      </w:pPr>
      <w:r w:rsidRPr="003E442F">
        <w:rPr>
          <w:rFonts w:asciiTheme="majorHAnsi" w:eastAsiaTheme="minorHAnsi" w:hAnsiTheme="majorHAnsi" w:cs="Times New Roman"/>
          <w:color w:val="231F20"/>
          <w:sz w:val="28"/>
          <w:szCs w:val="28"/>
          <w:lang w:eastAsia="en-US"/>
        </w:rPr>
        <w:t>Attendu qu’à la lecture combinée des articles 124 et 125 du code de procédure civile «  Lorsque les juridictions saisies ne sont pas de même degré, l’exception de litispendance ou de connexité ne peut être soulevée que devant la juridiction du degré inférieur.</w:t>
      </w:r>
    </w:p>
    <w:p w:rsidR="008B5C5C" w:rsidRPr="003E442F" w:rsidRDefault="008B5C5C" w:rsidP="003E442F">
      <w:pPr>
        <w:autoSpaceDE w:val="0"/>
        <w:autoSpaceDN w:val="0"/>
        <w:adjustRightInd w:val="0"/>
        <w:spacing w:after="0"/>
        <w:ind w:firstLine="720"/>
        <w:jc w:val="both"/>
        <w:rPr>
          <w:rFonts w:asciiTheme="majorHAnsi" w:eastAsiaTheme="minorHAnsi" w:hAnsiTheme="majorHAnsi" w:cs="Times New Roman"/>
          <w:color w:val="231F20"/>
          <w:sz w:val="28"/>
          <w:szCs w:val="28"/>
          <w:lang w:eastAsia="en-US"/>
        </w:rPr>
      </w:pPr>
      <w:r w:rsidRPr="003E442F">
        <w:rPr>
          <w:rFonts w:asciiTheme="majorHAnsi" w:eastAsiaTheme="minorHAnsi" w:hAnsiTheme="majorHAnsi" w:cs="Times New Roman"/>
          <w:color w:val="231F20"/>
          <w:sz w:val="28"/>
          <w:szCs w:val="28"/>
          <w:lang w:eastAsia="en-US"/>
        </w:rPr>
        <w:t>L’exception de connexité peut être soulevée en tout état de cause, sauf à être écartée si elle a été soulevée tardivement dans une intention dilatoire.</w:t>
      </w:r>
    </w:p>
    <w:p w:rsidR="008B5C5C" w:rsidRPr="003E442F" w:rsidRDefault="008B5C5C" w:rsidP="005E3BC8">
      <w:pPr>
        <w:autoSpaceDE w:val="0"/>
        <w:autoSpaceDN w:val="0"/>
        <w:adjustRightInd w:val="0"/>
        <w:spacing w:after="0"/>
        <w:ind w:firstLine="720"/>
        <w:jc w:val="both"/>
        <w:rPr>
          <w:rFonts w:asciiTheme="majorHAnsi" w:eastAsiaTheme="minorHAnsi" w:hAnsiTheme="majorHAnsi" w:cs="Times New Roman"/>
          <w:color w:val="231F20"/>
          <w:sz w:val="28"/>
          <w:szCs w:val="28"/>
          <w:lang w:eastAsia="en-US"/>
        </w:rPr>
      </w:pPr>
      <w:r w:rsidRPr="003E442F">
        <w:rPr>
          <w:rFonts w:asciiTheme="majorHAnsi" w:eastAsiaTheme="minorHAnsi" w:hAnsiTheme="majorHAnsi" w:cs="Times New Roman"/>
          <w:color w:val="231F20"/>
          <w:sz w:val="28"/>
          <w:szCs w:val="28"/>
          <w:lang w:eastAsia="en-US"/>
        </w:rPr>
        <w:t>Qu’en  l’espèce les exceptions ont été soulevées dès la forme et devant la juridiction de degré inférieur ;</w:t>
      </w:r>
    </w:p>
    <w:p w:rsidR="008B5C5C" w:rsidRPr="003E442F" w:rsidRDefault="002D5D51" w:rsidP="003E442F">
      <w:pPr>
        <w:autoSpaceDE w:val="0"/>
        <w:autoSpaceDN w:val="0"/>
        <w:adjustRightInd w:val="0"/>
        <w:spacing w:after="0"/>
        <w:ind w:firstLine="720"/>
        <w:jc w:val="both"/>
        <w:rPr>
          <w:rFonts w:asciiTheme="majorHAnsi" w:eastAsiaTheme="minorHAnsi" w:hAnsiTheme="majorHAnsi" w:cs="Times New Roman"/>
          <w:color w:val="231F20"/>
          <w:sz w:val="28"/>
          <w:szCs w:val="28"/>
          <w:lang w:eastAsia="en-US"/>
        </w:rPr>
      </w:pPr>
      <w:r w:rsidRPr="003E442F">
        <w:rPr>
          <w:rFonts w:asciiTheme="majorHAnsi" w:eastAsiaTheme="minorHAnsi" w:hAnsiTheme="majorHAnsi" w:cs="Times New Roman"/>
          <w:color w:val="231F20"/>
          <w:sz w:val="28"/>
          <w:szCs w:val="28"/>
          <w:lang w:eastAsia="en-US"/>
        </w:rPr>
        <w:t>Qu’il ya lieu de recevoir HASSANE BOMBOUA</w:t>
      </w:r>
      <w:r w:rsidR="008B5C5C" w:rsidRPr="003E442F">
        <w:rPr>
          <w:rFonts w:asciiTheme="majorHAnsi" w:eastAsiaTheme="minorHAnsi" w:hAnsiTheme="majorHAnsi" w:cs="Times New Roman"/>
          <w:color w:val="231F20"/>
          <w:sz w:val="28"/>
          <w:szCs w:val="28"/>
          <w:lang w:eastAsia="en-US"/>
        </w:rPr>
        <w:t xml:space="preserve"> en ses exceptions de litispendance et de connexité ;</w:t>
      </w:r>
    </w:p>
    <w:p w:rsidR="008B5C5C" w:rsidRPr="003E442F" w:rsidRDefault="008B5C5C" w:rsidP="003E442F">
      <w:pPr>
        <w:autoSpaceDE w:val="0"/>
        <w:autoSpaceDN w:val="0"/>
        <w:adjustRightInd w:val="0"/>
        <w:spacing w:after="0"/>
        <w:ind w:firstLine="720"/>
        <w:jc w:val="both"/>
        <w:rPr>
          <w:rFonts w:asciiTheme="majorHAnsi" w:eastAsiaTheme="minorHAnsi" w:hAnsiTheme="majorHAnsi" w:cs="Times New Roman"/>
          <w:color w:val="231F20"/>
          <w:sz w:val="28"/>
          <w:szCs w:val="28"/>
          <w:lang w:eastAsia="en-US"/>
        </w:rPr>
      </w:pPr>
      <w:r w:rsidRPr="003E442F">
        <w:rPr>
          <w:rFonts w:asciiTheme="majorHAnsi" w:eastAsiaTheme="minorHAnsi" w:hAnsiTheme="majorHAnsi" w:cs="Times New Roman"/>
          <w:sz w:val="28"/>
          <w:szCs w:val="28"/>
        </w:rPr>
        <w:t>Attendu qu’aux termes de l’article 123 du code de procédure civile « </w:t>
      </w:r>
      <w:r w:rsidRPr="003E442F">
        <w:rPr>
          <w:rFonts w:asciiTheme="majorHAnsi" w:eastAsiaTheme="minorHAnsi" w:hAnsiTheme="majorHAnsi" w:cs="Times New Roman"/>
          <w:color w:val="231F20"/>
          <w:sz w:val="28"/>
          <w:szCs w:val="28"/>
          <w:lang w:eastAsia="en-US"/>
        </w:rPr>
        <w:t>s’il a été formé précédemment devant un autre tribunal une demande ayant le même objet, ou si la contestation est connexe à une cause déjà pendante devant un autre tribunal, la juridiction saisie en second lieu doit se dessaisir au profit de l’autre, soit d’office, soit à la demande de l’une des parties. Il y a litispendance dans le premier cas, connexité dans le second.</w:t>
      </w:r>
    </w:p>
    <w:p w:rsidR="00C0107F" w:rsidRPr="003E442F" w:rsidRDefault="00C0107F" w:rsidP="003E442F">
      <w:pPr>
        <w:ind w:firstLine="720"/>
        <w:jc w:val="both"/>
        <w:rPr>
          <w:rFonts w:asciiTheme="majorHAnsi" w:hAnsiTheme="majorHAnsi"/>
          <w:sz w:val="28"/>
          <w:szCs w:val="28"/>
        </w:rPr>
      </w:pPr>
      <w:r w:rsidRPr="003E442F">
        <w:rPr>
          <w:rFonts w:asciiTheme="majorHAnsi" w:hAnsiTheme="majorHAnsi"/>
          <w:sz w:val="28"/>
          <w:szCs w:val="28"/>
        </w:rPr>
        <w:t xml:space="preserve">Attendu </w:t>
      </w:r>
      <w:r w:rsidR="006B0660">
        <w:rPr>
          <w:rFonts w:asciiTheme="majorHAnsi" w:hAnsiTheme="majorHAnsi"/>
          <w:sz w:val="28"/>
          <w:szCs w:val="28"/>
        </w:rPr>
        <w:t xml:space="preserve">que </w:t>
      </w:r>
      <w:r w:rsidRPr="003E442F">
        <w:rPr>
          <w:rFonts w:asciiTheme="majorHAnsi" w:hAnsiTheme="majorHAnsi"/>
          <w:sz w:val="28"/>
          <w:szCs w:val="28"/>
        </w:rPr>
        <w:t xml:space="preserve">par requête aux fins d’injonction </w:t>
      </w:r>
      <w:r w:rsidR="00A410AE" w:rsidRPr="003E442F">
        <w:rPr>
          <w:rFonts w:asciiTheme="majorHAnsi" w:hAnsiTheme="majorHAnsi"/>
          <w:sz w:val="28"/>
          <w:szCs w:val="28"/>
        </w:rPr>
        <w:t xml:space="preserve"> de payer </w:t>
      </w:r>
      <w:r w:rsidRPr="003E442F">
        <w:rPr>
          <w:rFonts w:asciiTheme="majorHAnsi" w:hAnsiTheme="majorHAnsi"/>
          <w:sz w:val="28"/>
          <w:szCs w:val="28"/>
        </w:rPr>
        <w:t>en date du 17 Juillet 2017, MOUSSA N’DIAYE MALAMINE obtenait le 18 Janvier 2017 du Président du Tribunal de Grande Instance de Tillabéri une ordonnance d’injonction  de  payer la somme de 6 496 646 FCFA contre HASSANE BOMBOUA.</w:t>
      </w:r>
    </w:p>
    <w:p w:rsidR="00C0107F" w:rsidRPr="003E442F" w:rsidRDefault="005D209D" w:rsidP="003E442F">
      <w:pPr>
        <w:ind w:firstLine="720"/>
        <w:jc w:val="both"/>
        <w:rPr>
          <w:rFonts w:asciiTheme="majorHAnsi" w:hAnsiTheme="majorHAnsi"/>
          <w:sz w:val="28"/>
          <w:szCs w:val="28"/>
        </w:rPr>
      </w:pPr>
      <w:r w:rsidRPr="003E442F">
        <w:rPr>
          <w:rFonts w:asciiTheme="majorHAnsi" w:hAnsiTheme="majorHAnsi"/>
          <w:sz w:val="28"/>
          <w:szCs w:val="28"/>
        </w:rPr>
        <w:t>Ce dernier, conformément</w:t>
      </w:r>
      <w:r w:rsidR="00CD269A" w:rsidRPr="003E442F">
        <w:rPr>
          <w:rFonts w:asciiTheme="majorHAnsi" w:hAnsiTheme="majorHAnsi"/>
          <w:sz w:val="28"/>
          <w:szCs w:val="28"/>
        </w:rPr>
        <w:t xml:space="preserve"> à l’article 9 de l’Acte uniforme sur les procédures simplifiées de recouvrement</w:t>
      </w:r>
      <w:r w:rsidR="00F46AAA" w:rsidRPr="003E442F">
        <w:rPr>
          <w:rFonts w:asciiTheme="majorHAnsi" w:hAnsiTheme="majorHAnsi"/>
          <w:sz w:val="28"/>
          <w:szCs w:val="28"/>
        </w:rPr>
        <w:t xml:space="preserve"> et des voies d’exécution</w:t>
      </w:r>
      <w:r w:rsidRPr="003E442F">
        <w:rPr>
          <w:rFonts w:asciiTheme="majorHAnsi" w:hAnsiTheme="majorHAnsi"/>
          <w:sz w:val="28"/>
          <w:szCs w:val="28"/>
        </w:rPr>
        <w:t>, formait opposition</w:t>
      </w:r>
      <w:r w:rsidR="00C0107F" w:rsidRPr="003E442F">
        <w:rPr>
          <w:rFonts w:asciiTheme="majorHAnsi" w:hAnsiTheme="majorHAnsi"/>
          <w:sz w:val="28"/>
          <w:szCs w:val="28"/>
        </w:rPr>
        <w:t xml:space="preserve"> le 09 Février 2017 contre ladite ordonnance d’injonction devant le Tribunal de Grande Instance de Tillabéri, lequel par décision N°11 en date du </w:t>
      </w:r>
      <w:r w:rsidR="00C0107F" w:rsidRPr="003E442F">
        <w:rPr>
          <w:rFonts w:asciiTheme="majorHAnsi" w:hAnsiTheme="majorHAnsi"/>
          <w:sz w:val="28"/>
          <w:szCs w:val="28"/>
        </w:rPr>
        <w:lastRenderedPageBreak/>
        <w:t>30 Mars 2017 se déclare incompétent au profit du Tribunal de Grande Instance Hors Classe de Niamey.</w:t>
      </w:r>
    </w:p>
    <w:p w:rsidR="00C0107F" w:rsidRPr="003E442F" w:rsidRDefault="00C0107F" w:rsidP="003E442F">
      <w:pPr>
        <w:ind w:firstLine="720"/>
        <w:jc w:val="both"/>
        <w:rPr>
          <w:rFonts w:asciiTheme="majorHAnsi" w:hAnsiTheme="majorHAnsi"/>
          <w:sz w:val="28"/>
          <w:szCs w:val="28"/>
        </w:rPr>
      </w:pPr>
      <w:r w:rsidRPr="003E442F">
        <w:rPr>
          <w:rFonts w:asciiTheme="majorHAnsi" w:hAnsiTheme="majorHAnsi"/>
          <w:sz w:val="28"/>
          <w:szCs w:val="28"/>
        </w:rPr>
        <w:t>Le 27 Septembre 2017, HASSANE BOMBOUA interjeta appel contre la dite décision tandis que par requête avec communication de pièce en date du 04 Avril 2017 N’DIAYE MOUSSA MALAMINE saisissait le Tribunal de commerce et sollicitait la condamnation de HASSANE BOMBOUA au paiement de la somme de 18 851 173,5 FCFA à titre de créances affectées aux exécutions de trois gérances d’affaires </w:t>
      </w:r>
      <w:r w:rsidR="009F387A" w:rsidRPr="003E442F">
        <w:rPr>
          <w:rFonts w:asciiTheme="majorHAnsi" w:hAnsiTheme="majorHAnsi"/>
          <w:sz w:val="28"/>
          <w:szCs w:val="28"/>
        </w:rPr>
        <w:t>alors même</w:t>
      </w:r>
      <w:r w:rsidR="007730FC" w:rsidRPr="003E442F">
        <w:rPr>
          <w:rFonts w:asciiTheme="majorHAnsi" w:hAnsiTheme="majorHAnsi"/>
          <w:sz w:val="28"/>
          <w:szCs w:val="28"/>
        </w:rPr>
        <w:t xml:space="preserve"> que</w:t>
      </w:r>
      <w:r w:rsidR="009F387A" w:rsidRPr="003E442F">
        <w:rPr>
          <w:rFonts w:asciiTheme="majorHAnsi" w:hAnsiTheme="majorHAnsi"/>
          <w:sz w:val="28"/>
          <w:szCs w:val="28"/>
        </w:rPr>
        <w:t xml:space="preserve"> la Cour d’appel</w:t>
      </w:r>
      <w:r w:rsidR="00CA5772" w:rsidRPr="003E442F">
        <w:rPr>
          <w:rFonts w:asciiTheme="majorHAnsi" w:hAnsiTheme="majorHAnsi"/>
          <w:sz w:val="28"/>
          <w:szCs w:val="28"/>
        </w:rPr>
        <w:t xml:space="preserve"> de Niamey saisie </w:t>
      </w:r>
      <w:r w:rsidR="009F387A" w:rsidRPr="003E442F">
        <w:rPr>
          <w:rFonts w:asciiTheme="majorHAnsi" w:hAnsiTheme="majorHAnsi"/>
          <w:sz w:val="28"/>
          <w:szCs w:val="28"/>
        </w:rPr>
        <w:t xml:space="preserve"> conformément aux dispositions </w:t>
      </w:r>
      <w:r w:rsidR="00053454" w:rsidRPr="003E442F">
        <w:rPr>
          <w:rFonts w:asciiTheme="majorHAnsi" w:hAnsiTheme="majorHAnsi"/>
          <w:sz w:val="28"/>
          <w:szCs w:val="28"/>
        </w:rPr>
        <w:t>de l’article 15 de l’AUPSR/VE de la procédure d’injonction de payer por</w:t>
      </w:r>
      <w:r w:rsidR="007730FC" w:rsidRPr="003E442F">
        <w:rPr>
          <w:rFonts w:asciiTheme="majorHAnsi" w:hAnsiTheme="majorHAnsi"/>
          <w:sz w:val="28"/>
          <w:szCs w:val="28"/>
        </w:rPr>
        <w:t>tant sur les frais de gérances</w:t>
      </w:r>
      <w:r w:rsidR="0033665B" w:rsidRPr="003E442F">
        <w:rPr>
          <w:rFonts w:asciiTheme="majorHAnsi" w:hAnsiTheme="majorHAnsi"/>
          <w:sz w:val="28"/>
          <w:szCs w:val="28"/>
        </w:rPr>
        <w:t xml:space="preserve"> n’a même pas statué ; </w:t>
      </w:r>
    </w:p>
    <w:p w:rsidR="004629AC" w:rsidRPr="003E442F" w:rsidRDefault="00684543" w:rsidP="003E442F">
      <w:pPr>
        <w:ind w:firstLine="720"/>
        <w:jc w:val="both"/>
        <w:rPr>
          <w:rFonts w:asciiTheme="majorHAnsi" w:eastAsiaTheme="minorHAnsi" w:hAnsiTheme="majorHAnsi" w:cs="Times New Roman"/>
          <w:sz w:val="28"/>
          <w:szCs w:val="28"/>
          <w:lang w:eastAsia="en-US"/>
        </w:rPr>
      </w:pPr>
      <w:r w:rsidRPr="003E442F">
        <w:rPr>
          <w:rFonts w:asciiTheme="majorHAnsi" w:eastAsiaTheme="minorHAnsi" w:hAnsiTheme="majorHAnsi" w:cs="Times New Roman"/>
          <w:sz w:val="28"/>
          <w:szCs w:val="28"/>
          <w:lang w:eastAsia="en-US"/>
        </w:rPr>
        <w:t>Qu’il est constant</w:t>
      </w:r>
      <w:r w:rsidR="006B0660">
        <w:rPr>
          <w:rFonts w:asciiTheme="majorHAnsi" w:eastAsiaTheme="minorHAnsi" w:hAnsiTheme="majorHAnsi" w:cs="Times New Roman"/>
          <w:sz w:val="28"/>
          <w:szCs w:val="28"/>
          <w:lang w:eastAsia="en-US"/>
        </w:rPr>
        <w:t xml:space="preserve"> que</w:t>
      </w:r>
      <w:r w:rsidR="008B5C5C" w:rsidRPr="003E442F">
        <w:rPr>
          <w:rFonts w:asciiTheme="majorHAnsi" w:eastAsiaTheme="minorHAnsi" w:hAnsiTheme="majorHAnsi" w:cs="Times New Roman"/>
          <w:sz w:val="28"/>
          <w:szCs w:val="28"/>
          <w:lang w:eastAsia="en-US"/>
        </w:rPr>
        <w:t xml:space="preserve"> les demandes formulées </w:t>
      </w:r>
      <w:r w:rsidR="00975E1B" w:rsidRPr="003E442F">
        <w:rPr>
          <w:rFonts w:asciiTheme="majorHAnsi" w:eastAsiaTheme="minorHAnsi" w:hAnsiTheme="majorHAnsi" w:cs="Times New Roman"/>
          <w:sz w:val="28"/>
          <w:szCs w:val="28"/>
          <w:lang w:eastAsia="en-US"/>
        </w:rPr>
        <w:t>par MOUSSA N’DIAYE MALAMINE tant en saisiss</w:t>
      </w:r>
      <w:r w:rsidR="004251E6" w:rsidRPr="003E442F">
        <w:rPr>
          <w:rFonts w:asciiTheme="majorHAnsi" w:eastAsiaTheme="minorHAnsi" w:hAnsiTheme="majorHAnsi" w:cs="Times New Roman"/>
          <w:sz w:val="28"/>
          <w:szCs w:val="28"/>
          <w:lang w:eastAsia="en-US"/>
        </w:rPr>
        <w:t>ant le président du Tribunal de Grande Instance de</w:t>
      </w:r>
      <w:r w:rsidR="00975E1B" w:rsidRPr="003E442F">
        <w:rPr>
          <w:rFonts w:asciiTheme="majorHAnsi" w:eastAsiaTheme="minorHAnsi" w:hAnsiTheme="majorHAnsi" w:cs="Times New Roman"/>
          <w:sz w:val="28"/>
          <w:szCs w:val="28"/>
          <w:lang w:eastAsia="en-US"/>
        </w:rPr>
        <w:t xml:space="preserve"> Tillabéri</w:t>
      </w:r>
      <w:r w:rsidR="004251E6" w:rsidRPr="003E442F">
        <w:rPr>
          <w:rFonts w:asciiTheme="majorHAnsi" w:eastAsiaTheme="minorHAnsi" w:hAnsiTheme="majorHAnsi" w:cs="Times New Roman"/>
          <w:sz w:val="28"/>
          <w:szCs w:val="28"/>
          <w:lang w:eastAsia="en-US"/>
        </w:rPr>
        <w:t xml:space="preserve"> de la </w:t>
      </w:r>
      <w:r w:rsidR="00DE7351" w:rsidRPr="003E442F">
        <w:rPr>
          <w:rFonts w:asciiTheme="majorHAnsi" w:eastAsiaTheme="minorHAnsi" w:hAnsiTheme="majorHAnsi" w:cs="Times New Roman"/>
          <w:sz w:val="28"/>
          <w:szCs w:val="28"/>
          <w:lang w:eastAsia="en-US"/>
        </w:rPr>
        <w:t>requête</w:t>
      </w:r>
      <w:r w:rsidR="004251E6" w:rsidRPr="003E442F">
        <w:rPr>
          <w:rFonts w:asciiTheme="majorHAnsi" w:eastAsiaTheme="minorHAnsi" w:hAnsiTheme="majorHAnsi" w:cs="Times New Roman"/>
          <w:sz w:val="28"/>
          <w:szCs w:val="28"/>
          <w:lang w:eastAsia="en-US"/>
        </w:rPr>
        <w:t xml:space="preserve"> aux fins d’injonction de payer</w:t>
      </w:r>
      <w:r w:rsidR="00E42337" w:rsidRPr="003E442F">
        <w:rPr>
          <w:rFonts w:asciiTheme="majorHAnsi" w:eastAsiaTheme="minorHAnsi" w:hAnsiTheme="majorHAnsi" w:cs="Times New Roman"/>
          <w:sz w:val="28"/>
          <w:szCs w:val="28"/>
          <w:lang w:eastAsia="en-US"/>
        </w:rPr>
        <w:t xml:space="preserve"> qu’en saisissant le tribunal de commerce </w:t>
      </w:r>
      <w:r w:rsidR="0038482C" w:rsidRPr="003E442F">
        <w:rPr>
          <w:rFonts w:asciiTheme="majorHAnsi" w:eastAsiaTheme="minorHAnsi" w:hAnsiTheme="majorHAnsi" w:cs="Times New Roman"/>
          <w:sz w:val="28"/>
          <w:szCs w:val="28"/>
          <w:lang w:eastAsia="en-US"/>
        </w:rPr>
        <w:t xml:space="preserve"> visaient à avoir </w:t>
      </w:r>
      <w:r w:rsidR="00254FB5" w:rsidRPr="003E442F">
        <w:rPr>
          <w:rFonts w:asciiTheme="majorHAnsi" w:eastAsiaTheme="minorHAnsi" w:hAnsiTheme="majorHAnsi" w:cs="Times New Roman"/>
          <w:sz w:val="28"/>
          <w:szCs w:val="28"/>
          <w:lang w:eastAsia="en-US"/>
        </w:rPr>
        <w:t xml:space="preserve"> paiement</w:t>
      </w:r>
      <w:r w:rsidR="00191235" w:rsidRPr="003E442F">
        <w:rPr>
          <w:rFonts w:asciiTheme="majorHAnsi" w:eastAsiaTheme="minorHAnsi" w:hAnsiTheme="majorHAnsi" w:cs="Times New Roman"/>
          <w:sz w:val="28"/>
          <w:szCs w:val="28"/>
          <w:lang w:eastAsia="en-US"/>
        </w:rPr>
        <w:t xml:space="preserve"> </w:t>
      </w:r>
      <w:r w:rsidR="00E344E3" w:rsidRPr="003E442F">
        <w:rPr>
          <w:rFonts w:asciiTheme="majorHAnsi" w:eastAsiaTheme="minorHAnsi" w:hAnsiTheme="majorHAnsi" w:cs="Times New Roman"/>
          <w:sz w:val="28"/>
          <w:szCs w:val="28"/>
          <w:lang w:eastAsia="en-US"/>
        </w:rPr>
        <w:t xml:space="preserve"> </w:t>
      </w:r>
      <w:r w:rsidRPr="003E442F">
        <w:rPr>
          <w:rFonts w:asciiTheme="majorHAnsi" w:eastAsiaTheme="minorHAnsi" w:hAnsiTheme="majorHAnsi" w:cs="Times New Roman"/>
          <w:sz w:val="28"/>
          <w:szCs w:val="28"/>
          <w:lang w:eastAsia="en-US"/>
        </w:rPr>
        <w:t xml:space="preserve">d’une créance née </w:t>
      </w:r>
      <w:r w:rsidR="00E344E3" w:rsidRPr="003E442F">
        <w:rPr>
          <w:rFonts w:asciiTheme="majorHAnsi" w:eastAsiaTheme="minorHAnsi" w:hAnsiTheme="majorHAnsi" w:cs="Times New Roman"/>
          <w:sz w:val="28"/>
          <w:szCs w:val="28"/>
          <w:lang w:eastAsia="en-US"/>
        </w:rPr>
        <w:t xml:space="preserve">des </w:t>
      </w:r>
      <w:r w:rsidR="0024576F" w:rsidRPr="003E442F">
        <w:rPr>
          <w:rFonts w:asciiTheme="majorHAnsi" w:eastAsiaTheme="minorHAnsi" w:hAnsiTheme="majorHAnsi" w:cs="Times New Roman"/>
          <w:sz w:val="28"/>
          <w:szCs w:val="28"/>
          <w:lang w:eastAsia="en-US"/>
        </w:rPr>
        <w:t xml:space="preserve">impayés de </w:t>
      </w:r>
      <w:r w:rsidR="00E344E3" w:rsidRPr="003E442F">
        <w:rPr>
          <w:rFonts w:asciiTheme="majorHAnsi" w:eastAsiaTheme="minorHAnsi" w:hAnsiTheme="majorHAnsi" w:cs="Times New Roman"/>
          <w:sz w:val="28"/>
          <w:szCs w:val="28"/>
          <w:lang w:eastAsia="en-US"/>
        </w:rPr>
        <w:t xml:space="preserve">frais </w:t>
      </w:r>
      <w:r w:rsidR="00D650DA" w:rsidRPr="003E442F">
        <w:rPr>
          <w:rFonts w:asciiTheme="majorHAnsi" w:eastAsiaTheme="minorHAnsi" w:hAnsiTheme="majorHAnsi" w:cs="Times New Roman"/>
          <w:sz w:val="28"/>
          <w:szCs w:val="28"/>
          <w:lang w:eastAsia="en-US"/>
        </w:rPr>
        <w:t xml:space="preserve"> de trois gérances</w:t>
      </w:r>
      <w:r w:rsidR="00E42337" w:rsidRPr="003E442F">
        <w:rPr>
          <w:rFonts w:asciiTheme="majorHAnsi" w:eastAsiaTheme="minorHAnsi" w:hAnsiTheme="majorHAnsi" w:cs="Times New Roman"/>
          <w:sz w:val="28"/>
          <w:szCs w:val="28"/>
          <w:lang w:eastAsia="en-US"/>
        </w:rPr>
        <w:t xml:space="preserve"> qu’il</w:t>
      </w:r>
      <w:r w:rsidR="00D650DA" w:rsidRPr="003E442F">
        <w:rPr>
          <w:rFonts w:asciiTheme="majorHAnsi" w:eastAsiaTheme="minorHAnsi" w:hAnsiTheme="majorHAnsi" w:cs="Times New Roman"/>
          <w:sz w:val="28"/>
          <w:szCs w:val="28"/>
          <w:lang w:eastAsia="en-US"/>
        </w:rPr>
        <w:t xml:space="preserve"> soutenait avoir</w:t>
      </w:r>
      <w:r w:rsidR="00E42337" w:rsidRPr="003E442F">
        <w:rPr>
          <w:rFonts w:asciiTheme="majorHAnsi" w:eastAsiaTheme="minorHAnsi" w:hAnsiTheme="majorHAnsi" w:cs="Times New Roman"/>
          <w:sz w:val="28"/>
          <w:szCs w:val="28"/>
          <w:lang w:eastAsia="en-US"/>
        </w:rPr>
        <w:t xml:space="preserve"> faite</w:t>
      </w:r>
      <w:r w:rsidR="00D650DA" w:rsidRPr="003E442F">
        <w:rPr>
          <w:rFonts w:asciiTheme="majorHAnsi" w:eastAsiaTheme="minorHAnsi" w:hAnsiTheme="majorHAnsi" w:cs="Times New Roman"/>
          <w:sz w:val="28"/>
          <w:szCs w:val="28"/>
          <w:lang w:eastAsia="en-US"/>
        </w:rPr>
        <w:t>s</w:t>
      </w:r>
      <w:r w:rsidR="00E42337" w:rsidRPr="003E442F">
        <w:rPr>
          <w:rFonts w:asciiTheme="majorHAnsi" w:eastAsiaTheme="minorHAnsi" w:hAnsiTheme="majorHAnsi" w:cs="Times New Roman"/>
          <w:sz w:val="28"/>
          <w:szCs w:val="28"/>
          <w:lang w:eastAsia="en-US"/>
        </w:rPr>
        <w:t xml:space="preserve"> pour HASSANE BOMBOUA dans le cadre de leur convention de prestat</w:t>
      </w:r>
      <w:r w:rsidR="003210AB" w:rsidRPr="003E442F">
        <w:rPr>
          <w:rFonts w:asciiTheme="majorHAnsi" w:eastAsiaTheme="minorHAnsi" w:hAnsiTheme="majorHAnsi" w:cs="Times New Roman"/>
          <w:sz w:val="28"/>
          <w:szCs w:val="28"/>
          <w:lang w:eastAsia="en-US"/>
        </w:rPr>
        <w:t>ion N°009/7/15 du 21 juillet 2015</w:t>
      </w:r>
      <w:r w:rsidR="004629AC" w:rsidRPr="003E442F">
        <w:rPr>
          <w:rFonts w:asciiTheme="majorHAnsi" w:eastAsiaTheme="minorHAnsi" w:hAnsiTheme="majorHAnsi" w:cs="Times New Roman"/>
          <w:sz w:val="28"/>
          <w:szCs w:val="28"/>
          <w:lang w:eastAsia="en-US"/>
        </w:rPr>
        <w:t> ;</w:t>
      </w:r>
    </w:p>
    <w:p w:rsidR="008B5C5C" w:rsidRPr="003E442F" w:rsidRDefault="00C64DDF" w:rsidP="003E442F">
      <w:pPr>
        <w:ind w:firstLine="720"/>
        <w:jc w:val="both"/>
        <w:rPr>
          <w:rFonts w:asciiTheme="majorHAnsi" w:eastAsiaTheme="minorHAnsi" w:hAnsiTheme="majorHAnsi" w:cs="Times New Roman"/>
          <w:sz w:val="28"/>
          <w:szCs w:val="28"/>
          <w:lang w:eastAsia="en-US"/>
        </w:rPr>
      </w:pPr>
      <w:r w:rsidRPr="003E442F">
        <w:rPr>
          <w:rFonts w:asciiTheme="majorHAnsi" w:eastAsiaTheme="minorHAnsi" w:hAnsiTheme="majorHAnsi" w:cs="Times New Roman"/>
          <w:sz w:val="28"/>
          <w:szCs w:val="28"/>
          <w:lang w:eastAsia="en-US"/>
        </w:rPr>
        <w:t>Attendu qu</w:t>
      </w:r>
      <w:r w:rsidR="008B5C5C" w:rsidRPr="003E442F">
        <w:rPr>
          <w:rFonts w:asciiTheme="majorHAnsi" w:eastAsiaTheme="minorHAnsi" w:hAnsiTheme="majorHAnsi" w:cs="Times New Roman"/>
          <w:sz w:val="28"/>
          <w:szCs w:val="28"/>
          <w:lang w:eastAsia="en-US"/>
        </w:rPr>
        <w:t>’il ya bien une similitude des demandes et d’objet et un lien de c</w:t>
      </w:r>
      <w:r w:rsidR="008863CD" w:rsidRPr="003E442F">
        <w:rPr>
          <w:rFonts w:asciiTheme="majorHAnsi" w:eastAsiaTheme="minorHAnsi" w:hAnsiTheme="majorHAnsi" w:cs="Times New Roman"/>
          <w:sz w:val="28"/>
          <w:szCs w:val="28"/>
          <w:lang w:eastAsia="en-US"/>
        </w:rPr>
        <w:t xml:space="preserve">onnexité entre la procédure pendante </w:t>
      </w:r>
      <w:r w:rsidR="008B5C5C" w:rsidRPr="003E442F">
        <w:rPr>
          <w:rFonts w:asciiTheme="majorHAnsi" w:eastAsiaTheme="minorHAnsi" w:hAnsiTheme="majorHAnsi" w:cs="Times New Roman"/>
          <w:sz w:val="28"/>
          <w:szCs w:val="28"/>
          <w:lang w:eastAsia="en-US"/>
        </w:rPr>
        <w:t>d</w:t>
      </w:r>
      <w:r w:rsidR="00261A1E" w:rsidRPr="003E442F">
        <w:rPr>
          <w:rFonts w:asciiTheme="majorHAnsi" w:eastAsiaTheme="minorHAnsi" w:hAnsiTheme="majorHAnsi" w:cs="Times New Roman"/>
          <w:sz w:val="28"/>
          <w:szCs w:val="28"/>
          <w:lang w:eastAsia="en-US"/>
        </w:rPr>
        <w:t>evant la Cour d’appel et la présente procédure ;</w:t>
      </w:r>
    </w:p>
    <w:p w:rsidR="008B5C5C" w:rsidRPr="003E442F" w:rsidRDefault="008B5C5C" w:rsidP="003E442F">
      <w:pPr>
        <w:ind w:firstLine="720"/>
        <w:jc w:val="both"/>
        <w:rPr>
          <w:rFonts w:asciiTheme="majorHAnsi" w:eastAsiaTheme="minorHAnsi" w:hAnsiTheme="majorHAnsi" w:cs="Times New Roman"/>
          <w:sz w:val="28"/>
          <w:szCs w:val="28"/>
          <w:lang w:eastAsia="en-US"/>
        </w:rPr>
      </w:pPr>
      <w:r w:rsidRPr="003E442F">
        <w:rPr>
          <w:rFonts w:asciiTheme="majorHAnsi" w:eastAsiaTheme="minorHAnsi" w:hAnsiTheme="majorHAnsi" w:cs="Times New Roman"/>
          <w:sz w:val="28"/>
          <w:szCs w:val="28"/>
          <w:lang w:eastAsia="en-US"/>
        </w:rPr>
        <w:t>Attendu de tout ce qui précède qu’il ya aussi bien litispendance que connexité ;</w:t>
      </w:r>
    </w:p>
    <w:p w:rsidR="008B5C5C" w:rsidRPr="003E442F" w:rsidRDefault="008B5C5C" w:rsidP="008B5C5C">
      <w:pPr>
        <w:ind w:firstLine="720"/>
        <w:jc w:val="both"/>
        <w:rPr>
          <w:rFonts w:asciiTheme="majorHAnsi" w:eastAsiaTheme="minorHAnsi" w:hAnsiTheme="majorHAnsi" w:cs="Times New Roman"/>
          <w:sz w:val="28"/>
          <w:szCs w:val="28"/>
          <w:lang w:eastAsia="en-US"/>
        </w:rPr>
      </w:pPr>
      <w:r w:rsidRPr="003E442F">
        <w:rPr>
          <w:rFonts w:asciiTheme="majorHAnsi" w:eastAsiaTheme="minorHAnsi" w:hAnsiTheme="majorHAnsi" w:cs="Times New Roman"/>
          <w:sz w:val="28"/>
          <w:szCs w:val="28"/>
          <w:lang w:eastAsia="en-US"/>
        </w:rPr>
        <w:t>Qu’il ya lieu de déclarer fondée l’exception de litispendance et de connexit</w:t>
      </w:r>
      <w:r w:rsidR="00155A53" w:rsidRPr="003E442F">
        <w:rPr>
          <w:rFonts w:asciiTheme="majorHAnsi" w:eastAsiaTheme="minorHAnsi" w:hAnsiTheme="majorHAnsi" w:cs="Times New Roman"/>
          <w:sz w:val="28"/>
          <w:szCs w:val="28"/>
          <w:lang w:eastAsia="en-US"/>
        </w:rPr>
        <w:t>é soulevée par HASSANE BOMBOUA</w:t>
      </w:r>
      <w:r w:rsidR="008902E3">
        <w:rPr>
          <w:rFonts w:asciiTheme="majorHAnsi" w:eastAsiaTheme="minorHAnsi" w:hAnsiTheme="majorHAnsi" w:cs="Times New Roman"/>
          <w:sz w:val="28"/>
          <w:szCs w:val="28"/>
          <w:lang w:eastAsia="en-US"/>
        </w:rPr>
        <w:t xml:space="preserve"> </w:t>
      </w:r>
      <w:r w:rsidRPr="003E442F">
        <w:rPr>
          <w:rFonts w:asciiTheme="majorHAnsi" w:eastAsiaTheme="minorHAnsi" w:hAnsiTheme="majorHAnsi" w:cs="Times New Roman"/>
          <w:sz w:val="28"/>
          <w:szCs w:val="28"/>
          <w:lang w:eastAsia="en-US"/>
        </w:rPr>
        <w:t>;</w:t>
      </w:r>
    </w:p>
    <w:p w:rsidR="008B5C5C" w:rsidRPr="003E442F" w:rsidRDefault="008B5C5C" w:rsidP="008B5C5C">
      <w:pPr>
        <w:ind w:firstLine="720"/>
        <w:jc w:val="both"/>
        <w:rPr>
          <w:rFonts w:asciiTheme="majorHAnsi" w:eastAsiaTheme="minorHAnsi" w:hAnsiTheme="majorHAnsi" w:cs="Times New Roman"/>
          <w:sz w:val="28"/>
          <w:szCs w:val="28"/>
          <w:lang w:eastAsia="en-US"/>
        </w:rPr>
      </w:pPr>
      <w:r w:rsidRPr="003E442F">
        <w:rPr>
          <w:rFonts w:asciiTheme="majorHAnsi" w:eastAsiaTheme="minorHAnsi" w:hAnsiTheme="majorHAnsi" w:cs="Times New Roman"/>
          <w:sz w:val="28"/>
          <w:szCs w:val="28"/>
          <w:lang w:eastAsia="en-US"/>
        </w:rPr>
        <w:t>Qu’en conséquence, le tribunal de commerce se dessaisit en faveur de la Cour d’appel de Niamey ;</w:t>
      </w:r>
    </w:p>
    <w:p w:rsidR="008B5C5C" w:rsidRPr="003E442F" w:rsidRDefault="008B5C5C" w:rsidP="008B5C5C">
      <w:pPr>
        <w:jc w:val="center"/>
        <w:rPr>
          <w:rFonts w:asciiTheme="majorHAnsi" w:eastAsiaTheme="minorHAnsi" w:hAnsiTheme="majorHAnsi" w:cs="Times New Roman"/>
          <w:b/>
          <w:sz w:val="28"/>
          <w:szCs w:val="28"/>
          <w:u w:val="single"/>
        </w:rPr>
      </w:pPr>
      <w:r w:rsidRPr="003E442F">
        <w:rPr>
          <w:rFonts w:asciiTheme="majorHAnsi" w:eastAsiaTheme="minorHAnsi" w:hAnsiTheme="majorHAnsi" w:cs="Times New Roman"/>
          <w:b/>
          <w:sz w:val="28"/>
          <w:szCs w:val="28"/>
          <w:u w:val="single"/>
        </w:rPr>
        <w:t>PAR CES MOTIFS</w:t>
      </w:r>
    </w:p>
    <w:p w:rsidR="008B5C5C" w:rsidRPr="003E442F" w:rsidRDefault="008B5C5C" w:rsidP="008B5C5C">
      <w:pPr>
        <w:ind w:firstLine="720"/>
        <w:jc w:val="both"/>
        <w:rPr>
          <w:rFonts w:asciiTheme="majorHAnsi" w:eastAsiaTheme="minorHAnsi" w:hAnsiTheme="majorHAnsi" w:cs="Times New Roman"/>
          <w:sz w:val="28"/>
          <w:szCs w:val="28"/>
          <w:lang w:eastAsia="en-US"/>
        </w:rPr>
      </w:pPr>
      <w:r w:rsidRPr="003E442F">
        <w:rPr>
          <w:rFonts w:asciiTheme="majorHAnsi" w:eastAsiaTheme="minorHAnsi" w:hAnsiTheme="majorHAnsi" w:cs="Times New Roman"/>
          <w:sz w:val="28"/>
          <w:szCs w:val="28"/>
        </w:rPr>
        <w:t>Statuant publiquement, contradictoirement à l</w:t>
      </w:r>
      <w:r w:rsidR="006F599B" w:rsidRPr="003E442F">
        <w:rPr>
          <w:rFonts w:asciiTheme="majorHAnsi" w:eastAsiaTheme="minorHAnsi" w:hAnsiTheme="majorHAnsi" w:cs="Times New Roman"/>
          <w:sz w:val="28"/>
          <w:szCs w:val="28"/>
        </w:rPr>
        <w:t xml:space="preserve">’égard de  toutes les parties </w:t>
      </w:r>
      <w:r w:rsidRPr="003E442F">
        <w:rPr>
          <w:rFonts w:asciiTheme="majorHAnsi" w:eastAsiaTheme="minorHAnsi" w:hAnsiTheme="majorHAnsi" w:cs="Times New Roman"/>
          <w:sz w:val="28"/>
          <w:szCs w:val="28"/>
          <w:lang w:eastAsia="en-US"/>
        </w:rPr>
        <w:t> </w:t>
      </w:r>
      <w:r w:rsidR="006F599B" w:rsidRPr="003E442F">
        <w:rPr>
          <w:rFonts w:asciiTheme="majorHAnsi" w:eastAsiaTheme="minorHAnsi" w:hAnsiTheme="majorHAnsi" w:cs="Times New Roman"/>
          <w:sz w:val="28"/>
          <w:szCs w:val="28"/>
        </w:rPr>
        <w:t>en matière commerciale</w:t>
      </w:r>
      <w:r w:rsidRPr="003E442F">
        <w:rPr>
          <w:rFonts w:asciiTheme="majorHAnsi" w:eastAsiaTheme="minorHAnsi" w:hAnsiTheme="majorHAnsi" w:cs="Times New Roman"/>
          <w:sz w:val="28"/>
          <w:szCs w:val="28"/>
        </w:rPr>
        <w:t xml:space="preserve"> en premier ressort</w:t>
      </w:r>
      <w:r w:rsidR="006F599B" w:rsidRPr="003E442F">
        <w:rPr>
          <w:rFonts w:asciiTheme="majorHAnsi" w:eastAsiaTheme="minorHAnsi" w:hAnsiTheme="majorHAnsi" w:cs="Times New Roman"/>
          <w:sz w:val="28"/>
          <w:szCs w:val="28"/>
        </w:rPr>
        <w:t xml:space="preserve"> et en dernier ressort</w:t>
      </w:r>
      <w:r w:rsidRPr="003E442F">
        <w:rPr>
          <w:rFonts w:asciiTheme="majorHAnsi" w:eastAsiaTheme="minorHAnsi" w:hAnsiTheme="majorHAnsi" w:cs="Times New Roman"/>
          <w:sz w:val="28"/>
          <w:szCs w:val="28"/>
        </w:rPr>
        <w:t> ;</w:t>
      </w:r>
    </w:p>
    <w:p w:rsidR="00841BA5" w:rsidRPr="003E442F" w:rsidRDefault="00841BA5" w:rsidP="00841BA5">
      <w:pPr>
        <w:pStyle w:val="Paragraphedeliste"/>
        <w:numPr>
          <w:ilvl w:val="0"/>
          <w:numId w:val="3"/>
        </w:numPr>
        <w:jc w:val="both"/>
        <w:rPr>
          <w:rFonts w:asciiTheme="majorHAnsi" w:hAnsiTheme="majorHAnsi" w:cs="Times New Roman"/>
          <w:sz w:val="28"/>
          <w:szCs w:val="28"/>
        </w:rPr>
      </w:pPr>
      <w:r w:rsidRPr="003E442F">
        <w:rPr>
          <w:rFonts w:asciiTheme="majorHAnsi" w:hAnsiTheme="majorHAnsi" w:cs="Times New Roman"/>
          <w:sz w:val="28"/>
          <w:szCs w:val="28"/>
        </w:rPr>
        <w:lastRenderedPageBreak/>
        <w:t>Se déclare compétent ;</w:t>
      </w:r>
    </w:p>
    <w:p w:rsidR="00EA081F" w:rsidRPr="003E442F" w:rsidRDefault="00841BA5" w:rsidP="00841BA5">
      <w:pPr>
        <w:pStyle w:val="Paragraphedeliste"/>
        <w:numPr>
          <w:ilvl w:val="0"/>
          <w:numId w:val="3"/>
        </w:numPr>
        <w:jc w:val="both"/>
        <w:rPr>
          <w:rFonts w:asciiTheme="majorHAnsi" w:hAnsiTheme="majorHAnsi" w:cs="Times New Roman"/>
          <w:sz w:val="28"/>
          <w:szCs w:val="28"/>
        </w:rPr>
      </w:pPr>
      <w:r w:rsidRPr="003E442F">
        <w:rPr>
          <w:rFonts w:asciiTheme="majorHAnsi" w:hAnsiTheme="majorHAnsi" w:cs="Times New Roman"/>
          <w:sz w:val="28"/>
          <w:szCs w:val="28"/>
        </w:rPr>
        <w:t>Reçoit</w:t>
      </w:r>
      <w:r w:rsidR="00EA081F" w:rsidRPr="003E442F">
        <w:rPr>
          <w:rFonts w:asciiTheme="majorHAnsi" w:hAnsiTheme="majorHAnsi" w:cs="Times New Roman"/>
          <w:sz w:val="28"/>
          <w:szCs w:val="28"/>
        </w:rPr>
        <w:t xml:space="preserve"> la requête de MOUSSA N’DIAYE MALAMINE comme étant régulière en la forme ;</w:t>
      </w:r>
    </w:p>
    <w:p w:rsidR="008B5C5C" w:rsidRPr="003E442F" w:rsidRDefault="000C5457" w:rsidP="000C5457">
      <w:pPr>
        <w:pStyle w:val="Paragraphedeliste"/>
        <w:numPr>
          <w:ilvl w:val="0"/>
          <w:numId w:val="3"/>
        </w:numPr>
        <w:jc w:val="both"/>
        <w:rPr>
          <w:rFonts w:asciiTheme="majorHAnsi" w:hAnsiTheme="majorHAnsi" w:cs="Times New Roman"/>
          <w:sz w:val="28"/>
          <w:szCs w:val="28"/>
        </w:rPr>
      </w:pPr>
      <w:r w:rsidRPr="003E442F">
        <w:rPr>
          <w:rFonts w:asciiTheme="majorHAnsi" w:hAnsiTheme="majorHAnsi" w:cs="Times New Roman"/>
          <w:sz w:val="28"/>
          <w:szCs w:val="28"/>
        </w:rPr>
        <w:t>Reçoit</w:t>
      </w:r>
      <w:r w:rsidR="00EA081F" w:rsidRPr="003E442F">
        <w:rPr>
          <w:rFonts w:asciiTheme="majorHAnsi" w:hAnsiTheme="majorHAnsi" w:cs="Times New Roman"/>
          <w:sz w:val="28"/>
          <w:szCs w:val="28"/>
        </w:rPr>
        <w:t xml:space="preserve"> l’exception de litispendance et de connexité soulevée par HASSANE BOMBOUA comme étant régulière en la forme</w:t>
      </w:r>
      <w:r w:rsidRPr="003E442F">
        <w:rPr>
          <w:rFonts w:asciiTheme="majorHAnsi" w:hAnsiTheme="majorHAnsi" w:cs="Times New Roman"/>
          <w:sz w:val="28"/>
          <w:szCs w:val="28"/>
        </w:rPr>
        <w:t> ;</w:t>
      </w:r>
    </w:p>
    <w:p w:rsidR="008B5C5C" w:rsidRPr="003E442F" w:rsidRDefault="000C5457" w:rsidP="008B5C5C">
      <w:pPr>
        <w:ind w:firstLine="720"/>
        <w:jc w:val="both"/>
        <w:rPr>
          <w:rFonts w:asciiTheme="majorHAnsi" w:eastAsiaTheme="minorHAnsi" w:hAnsiTheme="majorHAnsi" w:cs="Times New Roman"/>
          <w:sz w:val="28"/>
          <w:szCs w:val="28"/>
          <w:lang w:eastAsia="en-US"/>
        </w:rPr>
      </w:pPr>
      <w:r w:rsidRPr="003E442F">
        <w:rPr>
          <w:rFonts w:asciiTheme="majorHAnsi" w:eastAsiaTheme="minorHAnsi" w:hAnsiTheme="majorHAnsi" w:cs="Times New Roman"/>
          <w:sz w:val="28"/>
          <w:szCs w:val="28"/>
          <w:lang w:eastAsia="en-US"/>
        </w:rPr>
        <w:t>-Dit</w:t>
      </w:r>
      <w:r w:rsidR="008B5C5C" w:rsidRPr="003E442F">
        <w:rPr>
          <w:rFonts w:asciiTheme="majorHAnsi" w:eastAsiaTheme="minorHAnsi" w:hAnsiTheme="majorHAnsi" w:cs="Times New Roman"/>
          <w:sz w:val="28"/>
          <w:szCs w:val="28"/>
          <w:lang w:eastAsia="en-US"/>
        </w:rPr>
        <w:t xml:space="preserve"> qu’il</w:t>
      </w:r>
      <w:r w:rsidRPr="003E442F">
        <w:rPr>
          <w:rFonts w:asciiTheme="majorHAnsi" w:eastAsiaTheme="minorHAnsi" w:hAnsiTheme="majorHAnsi" w:cs="Times New Roman"/>
          <w:sz w:val="28"/>
          <w:szCs w:val="28"/>
          <w:lang w:eastAsia="en-US"/>
        </w:rPr>
        <w:t xml:space="preserve"> ya litispendance et connexité entre la présente procédure et celle pendante à la Cour d’Appel de Niamey acte d’appel en date du</w:t>
      </w:r>
      <w:r w:rsidR="00340BBA" w:rsidRPr="003E442F">
        <w:rPr>
          <w:rFonts w:asciiTheme="majorHAnsi" w:eastAsiaTheme="minorHAnsi" w:hAnsiTheme="majorHAnsi" w:cs="Times New Roman"/>
          <w:sz w:val="28"/>
          <w:szCs w:val="28"/>
          <w:lang w:eastAsia="en-US"/>
        </w:rPr>
        <w:t xml:space="preserve"> 26 Avril 2017 contre le jugement N°11 du tribunal de grande instance de Tillabéri du </w:t>
      </w:r>
      <w:r w:rsidR="00223C2D" w:rsidRPr="003E442F">
        <w:rPr>
          <w:rFonts w:asciiTheme="majorHAnsi" w:eastAsiaTheme="minorHAnsi" w:hAnsiTheme="majorHAnsi" w:cs="Times New Roman"/>
          <w:sz w:val="28"/>
          <w:szCs w:val="28"/>
          <w:lang w:eastAsia="en-US"/>
        </w:rPr>
        <w:t>30 Mars 2017</w:t>
      </w:r>
      <w:r w:rsidR="009174EB" w:rsidRPr="003E442F">
        <w:rPr>
          <w:rFonts w:asciiTheme="majorHAnsi" w:eastAsiaTheme="minorHAnsi" w:hAnsiTheme="majorHAnsi" w:cs="Times New Roman"/>
          <w:sz w:val="28"/>
          <w:szCs w:val="28"/>
          <w:lang w:eastAsia="en-US"/>
        </w:rPr>
        <w:t> ;</w:t>
      </w:r>
    </w:p>
    <w:p w:rsidR="008B5C5C" w:rsidRPr="003E442F" w:rsidRDefault="008B5C5C" w:rsidP="003E442F">
      <w:pPr>
        <w:ind w:firstLine="720"/>
        <w:jc w:val="both"/>
        <w:rPr>
          <w:rFonts w:asciiTheme="majorHAnsi" w:eastAsiaTheme="minorHAnsi" w:hAnsiTheme="majorHAnsi" w:cs="Times New Roman"/>
          <w:sz w:val="28"/>
          <w:szCs w:val="28"/>
          <w:lang w:eastAsia="en-US"/>
        </w:rPr>
      </w:pPr>
      <w:r w:rsidRPr="003E442F">
        <w:rPr>
          <w:rFonts w:asciiTheme="majorHAnsi" w:eastAsiaTheme="minorHAnsi" w:hAnsiTheme="majorHAnsi" w:cs="Times New Roman"/>
          <w:sz w:val="28"/>
          <w:szCs w:val="28"/>
          <w:lang w:eastAsia="en-US"/>
        </w:rPr>
        <w:t>-Se dessaisit en faveur de la Cour d’appel de Niamey ;</w:t>
      </w:r>
    </w:p>
    <w:p w:rsidR="008B5C5C" w:rsidRPr="003E442F" w:rsidRDefault="003213D4" w:rsidP="003E442F">
      <w:pPr>
        <w:ind w:firstLine="720"/>
        <w:jc w:val="both"/>
        <w:rPr>
          <w:rFonts w:asciiTheme="majorHAnsi" w:eastAsiaTheme="minorHAnsi" w:hAnsiTheme="majorHAnsi" w:cs="Times New Roman"/>
          <w:sz w:val="28"/>
          <w:szCs w:val="28"/>
          <w:lang w:eastAsia="en-US"/>
        </w:rPr>
      </w:pPr>
      <w:r w:rsidRPr="003E442F">
        <w:rPr>
          <w:rFonts w:asciiTheme="majorHAnsi" w:eastAsiaTheme="minorHAnsi" w:hAnsiTheme="majorHAnsi" w:cs="Times New Roman"/>
          <w:sz w:val="28"/>
          <w:szCs w:val="28"/>
          <w:lang w:eastAsia="en-US"/>
        </w:rPr>
        <w:t xml:space="preserve">- met les </w:t>
      </w:r>
      <w:r w:rsidR="008B5C5C" w:rsidRPr="003E442F">
        <w:rPr>
          <w:rFonts w:asciiTheme="majorHAnsi" w:eastAsiaTheme="minorHAnsi" w:hAnsiTheme="majorHAnsi" w:cs="Times New Roman"/>
          <w:sz w:val="28"/>
          <w:szCs w:val="28"/>
          <w:lang w:eastAsia="en-US"/>
        </w:rPr>
        <w:t>dépens</w:t>
      </w:r>
      <w:r w:rsidRPr="003E442F">
        <w:rPr>
          <w:rFonts w:asciiTheme="majorHAnsi" w:eastAsiaTheme="minorHAnsi" w:hAnsiTheme="majorHAnsi" w:cs="Times New Roman"/>
          <w:sz w:val="28"/>
          <w:szCs w:val="28"/>
          <w:lang w:eastAsia="en-US"/>
        </w:rPr>
        <w:t xml:space="preserve"> à la charge  de MOUSSA N’DIAYE MALAMINE</w:t>
      </w:r>
      <w:r w:rsidR="008B5C5C" w:rsidRPr="003E442F">
        <w:rPr>
          <w:rFonts w:asciiTheme="majorHAnsi" w:eastAsiaTheme="minorHAnsi" w:hAnsiTheme="majorHAnsi" w:cs="Times New Roman"/>
          <w:sz w:val="28"/>
          <w:szCs w:val="28"/>
          <w:lang w:eastAsia="en-US"/>
        </w:rPr>
        <w:t> ;</w:t>
      </w:r>
    </w:p>
    <w:p w:rsidR="008B5C5C" w:rsidRPr="003E442F" w:rsidRDefault="008B5C5C" w:rsidP="003E442F">
      <w:pPr>
        <w:pStyle w:val="al"/>
        <w:spacing w:line="276" w:lineRule="auto"/>
        <w:ind w:left="720"/>
        <w:jc w:val="both"/>
        <w:rPr>
          <w:rFonts w:asciiTheme="majorHAnsi" w:hAnsiTheme="majorHAnsi"/>
          <w:sz w:val="28"/>
          <w:szCs w:val="28"/>
          <w:lang w:val="fr-FR"/>
        </w:rPr>
      </w:pPr>
      <w:r w:rsidRPr="003E442F">
        <w:rPr>
          <w:rFonts w:asciiTheme="majorHAnsi" w:hAnsiTheme="majorHAnsi"/>
          <w:sz w:val="28"/>
          <w:szCs w:val="28"/>
          <w:lang w:val="fr-FR"/>
        </w:rPr>
        <w:t>-Dit que les part</w:t>
      </w:r>
      <w:r w:rsidR="003213D4" w:rsidRPr="003E442F">
        <w:rPr>
          <w:rFonts w:asciiTheme="majorHAnsi" w:hAnsiTheme="majorHAnsi"/>
          <w:sz w:val="28"/>
          <w:szCs w:val="28"/>
          <w:lang w:val="fr-FR"/>
        </w:rPr>
        <w:t>ies disposent d’un délai de deux mois (02) mois</w:t>
      </w:r>
      <w:r w:rsidR="008B20C7" w:rsidRPr="003E442F">
        <w:rPr>
          <w:rFonts w:asciiTheme="majorHAnsi" w:hAnsiTheme="majorHAnsi"/>
          <w:sz w:val="28"/>
          <w:szCs w:val="28"/>
          <w:lang w:val="fr-FR"/>
        </w:rPr>
        <w:t xml:space="preserve"> à compter du prononcé</w:t>
      </w:r>
      <w:r w:rsidRPr="003E442F">
        <w:rPr>
          <w:rFonts w:asciiTheme="majorHAnsi" w:hAnsiTheme="majorHAnsi"/>
          <w:sz w:val="28"/>
          <w:szCs w:val="28"/>
          <w:lang w:val="fr-FR"/>
        </w:rPr>
        <w:t xml:space="preserve"> de la p</w:t>
      </w:r>
      <w:r w:rsidR="008B20C7" w:rsidRPr="003E442F">
        <w:rPr>
          <w:rFonts w:asciiTheme="majorHAnsi" w:hAnsiTheme="majorHAnsi"/>
          <w:sz w:val="28"/>
          <w:szCs w:val="28"/>
          <w:lang w:val="fr-FR"/>
        </w:rPr>
        <w:t xml:space="preserve">résente décision pour se pourvoir en cassation </w:t>
      </w:r>
      <w:r w:rsidR="00D73AFA" w:rsidRPr="003E442F">
        <w:rPr>
          <w:rFonts w:asciiTheme="majorHAnsi" w:hAnsiTheme="majorHAnsi"/>
          <w:sz w:val="28"/>
          <w:szCs w:val="28"/>
          <w:lang w:val="fr-FR"/>
        </w:rPr>
        <w:t xml:space="preserve">par dépôt de requête </w:t>
      </w:r>
      <w:r w:rsidRPr="003E442F">
        <w:rPr>
          <w:rFonts w:asciiTheme="majorHAnsi" w:hAnsiTheme="majorHAnsi"/>
          <w:sz w:val="28"/>
          <w:szCs w:val="28"/>
          <w:lang w:val="fr-FR"/>
        </w:rPr>
        <w:t>auprès du greffi</w:t>
      </w:r>
      <w:r w:rsidR="00D73AFA" w:rsidRPr="003E442F">
        <w:rPr>
          <w:rFonts w:asciiTheme="majorHAnsi" w:hAnsiTheme="majorHAnsi"/>
          <w:sz w:val="28"/>
          <w:szCs w:val="28"/>
          <w:lang w:val="fr-FR"/>
        </w:rPr>
        <w:t>er en chef de la Cour Commune de Justice et d’Arbitrage (CCJA)</w:t>
      </w:r>
      <w:r w:rsidRPr="003E442F">
        <w:rPr>
          <w:rFonts w:asciiTheme="majorHAnsi" w:hAnsiTheme="majorHAnsi"/>
          <w:sz w:val="28"/>
          <w:szCs w:val="28"/>
          <w:lang w:val="fr-FR"/>
        </w:rPr>
        <w:t> ;</w:t>
      </w:r>
    </w:p>
    <w:p w:rsidR="003E442F" w:rsidRDefault="003E442F" w:rsidP="008B5C5C">
      <w:pPr>
        <w:jc w:val="center"/>
        <w:rPr>
          <w:rFonts w:asciiTheme="majorHAnsi" w:hAnsiTheme="majorHAnsi" w:cs="Arial"/>
          <w:b/>
          <w:sz w:val="28"/>
          <w:szCs w:val="28"/>
        </w:rPr>
      </w:pPr>
    </w:p>
    <w:p w:rsidR="008B5C5C" w:rsidRPr="003E442F" w:rsidRDefault="008B5C5C" w:rsidP="008B5C5C">
      <w:pPr>
        <w:jc w:val="center"/>
        <w:rPr>
          <w:rFonts w:asciiTheme="majorHAnsi" w:hAnsiTheme="majorHAnsi" w:cs="Arial"/>
          <w:b/>
          <w:sz w:val="28"/>
          <w:szCs w:val="28"/>
        </w:rPr>
      </w:pPr>
      <w:r w:rsidRPr="003E442F">
        <w:rPr>
          <w:rFonts w:asciiTheme="majorHAnsi" w:hAnsiTheme="majorHAnsi" w:cs="Arial"/>
          <w:b/>
          <w:sz w:val="28"/>
          <w:szCs w:val="28"/>
        </w:rPr>
        <w:t>Ainsi fait jugé et prononcé les jours, mois et an que dessus et dont suivent les signatures du président et du greffier.</w:t>
      </w:r>
    </w:p>
    <w:p w:rsidR="003E442F" w:rsidRDefault="003E442F" w:rsidP="008B5C5C">
      <w:pPr>
        <w:jc w:val="both"/>
        <w:rPr>
          <w:rFonts w:asciiTheme="majorHAnsi" w:hAnsiTheme="majorHAnsi" w:cs="Arial"/>
          <w:b/>
          <w:sz w:val="28"/>
          <w:szCs w:val="28"/>
          <w:u w:val="single"/>
        </w:rPr>
      </w:pPr>
    </w:p>
    <w:p w:rsidR="008B5C5C" w:rsidRPr="003E442F" w:rsidRDefault="008B5C5C" w:rsidP="008B5C5C">
      <w:pPr>
        <w:jc w:val="both"/>
        <w:rPr>
          <w:rFonts w:asciiTheme="majorHAnsi" w:hAnsiTheme="majorHAnsi" w:cs="Arial"/>
          <w:b/>
          <w:sz w:val="28"/>
          <w:szCs w:val="28"/>
        </w:rPr>
      </w:pPr>
      <w:r w:rsidRPr="003E442F">
        <w:rPr>
          <w:rFonts w:asciiTheme="majorHAnsi" w:hAnsiTheme="majorHAnsi" w:cs="Arial"/>
          <w:b/>
          <w:sz w:val="28"/>
          <w:szCs w:val="28"/>
          <w:u w:val="single"/>
        </w:rPr>
        <w:t>Le Président</w:t>
      </w:r>
      <w:r w:rsidRPr="003E442F">
        <w:rPr>
          <w:rFonts w:asciiTheme="majorHAnsi" w:hAnsiTheme="majorHAnsi" w:cs="Arial"/>
          <w:b/>
          <w:sz w:val="28"/>
          <w:szCs w:val="28"/>
        </w:rPr>
        <w:t xml:space="preserve">                                                                                   </w:t>
      </w:r>
      <w:r w:rsidRPr="003E442F">
        <w:rPr>
          <w:rFonts w:asciiTheme="majorHAnsi" w:hAnsiTheme="majorHAnsi" w:cs="Arial"/>
          <w:b/>
          <w:sz w:val="28"/>
          <w:szCs w:val="28"/>
          <w:u w:val="single"/>
        </w:rPr>
        <w:t>La Greffière</w:t>
      </w:r>
      <w:bookmarkStart w:id="0" w:name="_GoBack"/>
      <w:bookmarkEnd w:id="0"/>
    </w:p>
    <w:p w:rsidR="008B5C5C" w:rsidRPr="003E442F" w:rsidRDefault="008B5C5C" w:rsidP="008B5C5C">
      <w:pPr>
        <w:rPr>
          <w:rFonts w:asciiTheme="majorHAnsi" w:hAnsiTheme="majorHAnsi"/>
          <w:sz w:val="28"/>
          <w:szCs w:val="28"/>
        </w:rPr>
      </w:pPr>
    </w:p>
    <w:p w:rsidR="00405A1B" w:rsidRPr="003E442F" w:rsidRDefault="00405A1B">
      <w:pPr>
        <w:rPr>
          <w:rFonts w:asciiTheme="majorHAnsi" w:hAnsiTheme="majorHAnsi"/>
          <w:sz w:val="28"/>
          <w:szCs w:val="28"/>
        </w:rPr>
      </w:pPr>
    </w:p>
    <w:sectPr w:rsidR="00405A1B" w:rsidRPr="003E442F" w:rsidSect="00405A1B">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CF2" w:rsidRDefault="000D0CF2" w:rsidP="003E442F">
      <w:pPr>
        <w:spacing w:after="0" w:line="240" w:lineRule="auto"/>
      </w:pPr>
      <w:r>
        <w:separator/>
      </w:r>
    </w:p>
  </w:endnote>
  <w:endnote w:type="continuationSeparator" w:id="1">
    <w:p w:rsidR="000D0CF2" w:rsidRDefault="000D0CF2" w:rsidP="003E44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Bookman Old Style,Courier New">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2844"/>
      <w:docPartObj>
        <w:docPartGallery w:val="Page Numbers (Bottom of Page)"/>
        <w:docPartUnique/>
      </w:docPartObj>
    </w:sdtPr>
    <w:sdtContent>
      <w:sdt>
        <w:sdtPr>
          <w:id w:val="123787606"/>
          <w:docPartObj>
            <w:docPartGallery w:val="Page Numbers (Top of Page)"/>
            <w:docPartUnique/>
          </w:docPartObj>
        </w:sdtPr>
        <w:sdtContent>
          <w:p w:rsidR="003E442F" w:rsidRDefault="003E442F">
            <w:pPr>
              <w:pStyle w:val="Pieddepage"/>
              <w:jc w:val="right"/>
            </w:pPr>
            <w:r>
              <w:t xml:space="preserve">Page </w:t>
            </w:r>
            <w:r w:rsidR="00745532">
              <w:rPr>
                <w:b/>
                <w:sz w:val="24"/>
                <w:szCs w:val="24"/>
              </w:rPr>
              <w:fldChar w:fldCharType="begin"/>
            </w:r>
            <w:r>
              <w:rPr>
                <w:b/>
              </w:rPr>
              <w:instrText>PAGE</w:instrText>
            </w:r>
            <w:r w:rsidR="00745532">
              <w:rPr>
                <w:b/>
                <w:sz w:val="24"/>
                <w:szCs w:val="24"/>
              </w:rPr>
              <w:fldChar w:fldCharType="separate"/>
            </w:r>
            <w:r w:rsidR="00410FB1">
              <w:rPr>
                <w:b/>
                <w:noProof/>
              </w:rPr>
              <w:t>1</w:t>
            </w:r>
            <w:r w:rsidR="00745532">
              <w:rPr>
                <w:b/>
                <w:sz w:val="24"/>
                <w:szCs w:val="24"/>
              </w:rPr>
              <w:fldChar w:fldCharType="end"/>
            </w:r>
            <w:r>
              <w:t xml:space="preserve"> sur </w:t>
            </w:r>
            <w:r w:rsidR="00745532">
              <w:rPr>
                <w:b/>
                <w:sz w:val="24"/>
                <w:szCs w:val="24"/>
              </w:rPr>
              <w:fldChar w:fldCharType="begin"/>
            </w:r>
            <w:r>
              <w:rPr>
                <w:b/>
              </w:rPr>
              <w:instrText>NUMPAGES</w:instrText>
            </w:r>
            <w:r w:rsidR="00745532">
              <w:rPr>
                <w:b/>
                <w:sz w:val="24"/>
                <w:szCs w:val="24"/>
              </w:rPr>
              <w:fldChar w:fldCharType="separate"/>
            </w:r>
            <w:r w:rsidR="00734717">
              <w:rPr>
                <w:b/>
                <w:noProof/>
              </w:rPr>
              <w:t>7</w:t>
            </w:r>
            <w:r w:rsidR="00745532">
              <w:rPr>
                <w:b/>
                <w:sz w:val="24"/>
                <w:szCs w:val="24"/>
              </w:rPr>
              <w:fldChar w:fldCharType="end"/>
            </w:r>
          </w:p>
        </w:sdtContent>
      </w:sdt>
    </w:sdtContent>
  </w:sdt>
  <w:p w:rsidR="003E442F" w:rsidRDefault="003E442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CF2" w:rsidRDefault="000D0CF2" w:rsidP="003E442F">
      <w:pPr>
        <w:spacing w:after="0" w:line="240" w:lineRule="auto"/>
      </w:pPr>
      <w:r>
        <w:separator/>
      </w:r>
    </w:p>
  </w:footnote>
  <w:footnote w:type="continuationSeparator" w:id="1">
    <w:p w:rsidR="000D0CF2" w:rsidRDefault="000D0CF2" w:rsidP="003E44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7479DC"/>
    <w:multiLevelType w:val="hybridMultilevel"/>
    <w:tmpl w:val="1F36E48A"/>
    <w:lvl w:ilvl="0" w:tplc="511E3B44">
      <w:numFmt w:val="bullet"/>
      <w:lvlText w:val=""/>
      <w:lvlJc w:val="left"/>
      <w:pPr>
        <w:ind w:left="720" w:hanging="360"/>
      </w:pPr>
      <w:rPr>
        <w:rFonts w:ascii="Symbol" w:eastAsiaTheme="minorEastAsia" w:hAnsi="Symbol"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312F14A5"/>
    <w:multiLevelType w:val="hybridMultilevel"/>
    <w:tmpl w:val="66B2395C"/>
    <w:lvl w:ilvl="0" w:tplc="73B20AD2">
      <w:numFmt w:val="bullet"/>
      <w:lvlText w:val="-"/>
      <w:lvlJc w:val="left"/>
      <w:pPr>
        <w:ind w:left="1080" w:hanging="360"/>
      </w:pPr>
      <w:rPr>
        <w:rFonts w:ascii="Cambria" w:eastAsiaTheme="minorHAnsi" w:hAnsi="Cambri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0FB032D"/>
    <w:multiLevelType w:val="hybridMultilevel"/>
    <w:tmpl w:val="18AABB48"/>
    <w:lvl w:ilvl="0" w:tplc="B74C4C94">
      <w:start w:val="1"/>
      <w:numFmt w:val="bullet"/>
      <w:lvlText w:val="-"/>
      <w:lvlJc w:val="left"/>
      <w:pPr>
        <w:ind w:left="720" w:hanging="360"/>
      </w:pPr>
      <w:rPr>
        <w:rFonts w:ascii="Times New Roman" w:eastAsiaTheme="minorHAnsi"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721B24"/>
    <w:rsid w:val="00000A40"/>
    <w:rsid w:val="00017E01"/>
    <w:rsid w:val="000503DE"/>
    <w:rsid w:val="000523BE"/>
    <w:rsid w:val="00053454"/>
    <w:rsid w:val="00070169"/>
    <w:rsid w:val="000C5457"/>
    <w:rsid w:val="000D0CF2"/>
    <w:rsid w:val="000F6E27"/>
    <w:rsid w:val="00102123"/>
    <w:rsid w:val="00133E79"/>
    <w:rsid w:val="00155A53"/>
    <w:rsid w:val="00171E83"/>
    <w:rsid w:val="00191235"/>
    <w:rsid w:val="001B0624"/>
    <w:rsid w:val="001B72F7"/>
    <w:rsid w:val="001D7255"/>
    <w:rsid w:val="00223C2D"/>
    <w:rsid w:val="00226208"/>
    <w:rsid w:val="002422FD"/>
    <w:rsid w:val="00243797"/>
    <w:rsid w:val="0024576F"/>
    <w:rsid w:val="002459B1"/>
    <w:rsid w:val="00247BB7"/>
    <w:rsid w:val="00254FB5"/>
    <w:rsid w:val="00261A1E"/>
    <w:rsid w:val="002A6786"/>
    <w:rsid w:val="002D5D51"/>
    <w:rsid w:val="002E1248"/>
    <w:rsid w:val="00303AD3"/>
    <w:rsid w:val="00305752"/>
    <w:rsid w:val="003178BB"/>
    <w:rsid w:val="003210AB"/>
    <w:rsid w:val="003213D4"/>
    <w:rsid w:val="0033665B"/>
    <w:rsid w:val="00340BBA"/>
    <w:rsid w:val="00352E1B"/>
    <w:rsid w:val="00371C60"/>
    <w:rsid w:val="0038482C"/>
    <w:rsid w:val="003904E9"/>
    <w:rsid w:val="0039674F"/>
    <w:rsid w:val="003A34A5"/>
    <w:rsid w:val="003E442F"/>
    <w:rsid w:val="003F239C"/>
    <w:rsid w:val="00405A1B"/>
    <w:rsid w:val="00410FB1"/>
    <w:rsid w:val="00421462"/>
    <w:rsid w:val="004251E6"/>
    <w:rsid w:val="004629AC"/>
    <w:rsid w:val="004D1EDE"/>
    <w:rsid w:val="004F5CB7"/>
    <w:rsid w:val="005200B5"/>
    <w:rsid w:val="00522527"/>
    <w:rsid w:val="00583F2F"/>
    <w:rsid w:val="00594A79"/>
    <w:rsid w:val="005A0381"/>
    <w:rsid w:val="005D209D"/>
    <w:rsid w:val="005D33F5"/>
    <w:rsid w:val="005D64A3"/>
    <w:rsid w:val="005E3BC8"/>
    <w:rsid w:val="006706A8"/>
    <w:rsid w:val="00684543"/>
    <w:rsid w:val="00690885"/>
    <w:rsid w:val="006A6210"/>
    <w:rsid w:val="006B0660"/>
    <w:rsid w:val="006F1CD3"/>
    <w:rsid w:val="006F599B"/>
    <w:rsid w:val="00701E55"/>
    <w:rsid w:val="00703556"/>
    <w:rsid w:val="007070B6"/>
    <w:rsid w:val="00721B24"/>
    <w:rsid w:val="00734717"/>
    <w:rsid w:val="00745532"/>
    <w:rsid w:val="00753634"/>
    <w:rsid w:val="007730FC"/>
    <w:rsid w:val="00782774"/>
    <w:rsid w:val="00790401"/>
    <w:rsid w:val="007E311F"/>
    <w:rsid w:val="00841BA5"/>
    <w:rsid w:val="008863CD"/>
    <w:rsid w:val="008902E3"/>
    <w:rsid w:val="008B0DDC"/>
    <w:rsid w:val="008B20C7"/>
    <w:rsid w:val="008B3520"/>
    <w:rsid w:val="008B5C5C"/>
    <w:rsid w:val="008D1F70"/>
    <w:rsid w:val="00906BF3"/>
    <w:rsid w:val="009109AF"/>
    <w:rsid w:val="009174EB"/>
    <w:rsid w:val="00955249"/>
    <w:rsid w:val="00975E1B"/>
    <w:rsid w:val="00980CB2"/>
    <w:rsid w:val="009B4FC3"/>
    <w:rsid w:val="009D263E"/>
    <w:rsid w:val="009F0CED"/>
    <w:rsid w:val="009F1539"/>
    <w:rsid w:val="009F387A"/>
    <w:rsid w:val="009F66FA"/>
    <w:rsid w:val="00A410AE"/>
    <w:rsid w:val="00A41C5B"/>
    <w:rsid w:val="00A5245B"/>
    <w:rsid w:val="00A63690"/>
    <w:rsid w:val="00A65465"/>
    <w:rsid w:val="00A97F9B"/>
    <w:rsid w:val="00AC76E1"/>
    <w:rsid w:val="00AD327E"/>
    <w:rsid w:val="00AD47CA"/>
    <w:rsid w:val="00AE7B74"/>
    <w:rsid w:val="00B218C4"/>
    <w:rsid w:val="00B526CE"/>
    <w:rsid w:val="00BB68A3"/>
    <w:rsid w:val="00BE10F0"/>
    <w:rsid w:val="00BF7DA0"/>
    <w:rsid w:val="00C00DF9"/>
    <w:rsid w:val="00C0107F"/>
    <w:rsid w:val="00C071C9"/>
    <w:rsid w:val="00C30492"/>
    <w:rsid w:val="00C64DDF"/>
    <w:rsid w:val="00C67D47"/>
    <w:rsid w:val="00C83A02"/>
    <w:rsid w:val="00C966B0"/>
    <w:rsid w:val="00CA5772"/>
    <w:rsid w:val="00CB02F2"/>
    <w:rsid w:val="00CC385B"/>
    <w:rsid w:val="00CC72ED"/>
    <w:rsid w:val="00CC7FA4"/>
    <w:rsid w:val="00CD269A"/>
    <w:rsid w:val="00CD6977"/>
    <w:rsid w:val="00CF018D"/>
    <w:rsid w:val="00CF77FA"/>
    <w:rsid w:val="00D348AC"/>
    <w:rsid w:val="00D47102"/>
    <w:rsid w:val="00D524A6"/>
    <w:rsid w:val="00D64D92"/>
    <w:rsid w:val="00D650DA"/>
    <w:rsid w:val="00D73AFA"/>
    <w:rsid w:val="00D90358"/>
    <w:rsid w:val="00DC79C4"/>
    <w:rsid w:val="00DE7351"/>
    <w:rsid w:val="00E04232"/>
    <w:rsid w:val="00E344E3"/>
    <w:rsid w:val="00E42337"/>
    <w:rsid w:val="00E456E1"/>
    <w:rsid w:val="00E552C8"/>
    <w:rsid w:val="00E7503C"/>
    <w:rsid w:val="00EA081F"/>
    <w:rsid w:val="00EE72E4"/>
    <w:rsid w:val="00F3652C"/>
    <w:rsid w:val="00F46AAA"/>
    <w:rsid w:val="00F54694"/>
    <w:rsid w:val="00FA3419"/>
    <w:rsid w:val="00FE63A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C5C"/>
    <w:rPr>
      <w:rFonts w:eastAsiaTheme="minorEastAsia"/>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8B5C5C"/>
    <w:rPr>
      <w:color w:val="0000FF" w:themeColor="hyperlink"/>
      <w:u w:val="single"/>
    </w:rPr>
  </w:style>
  <w:style w:type="paragraph" w:styleId="Paragraphedeliste">
    <w:name w:val="List Paragraph"/>
    <w:basedOn w:val="Normal"/>
    <w:uiPriority w:val="34"/>
    <w:qFormat/>
    <w:rsid w:val="008B5C5C"/>
    <w:pPr>
      <w:ind w:left="720"/>
      <w:contextualSpacing/>
    </w:pPr>
    <w:rPr>
      <w:rFonts w:eastAsiaTheme="minorHAnsi"/>
      <w:lang w:eastAsia="en-US"/>
    </w:rPr>
  </w:style>
  <w:style w:type="paragraph" w:customStyle="1" w:styleId="al">
    <w:name w:val="al"/>
    <w:basedOn w:val="Normal"/>
    <w:rsid w:val="008B5C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En-tte">
    <w:name w:val="header"/>
    <w:basedOn w:val="Normal"/>
    <w:link w:val="En-tteCar"/>
    <w:uiPriority w:val="99"/>
    <w:semiHidden/>
    <w:unhideWhenUsed/>
    <w:rsid w:val="003E442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E442F"/>
    <w:rPr>
      <w:rFonts w:eastAsiaTheme="minorEastAsia"/>
      <w:lang w:val="fr-FR" w:eastAsia="fr-FR"/>
    </w:rPr>
  </w:style>
  <w:style w:type="paragraph" w:styleId="Pieddepage">
    <w:name w:val="footer"/>
    <w:basedOn w:val="Normal"/>
    <w:link w:val="PieddepageCar"/>
    <w:uiPriority w:val="99"/>
    <w:unhideWhenUsed/>
    <w:rsid w:val="003E442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E442F"/>
    <w:rPr>
      <w:rFonts w:eastAsiaTheme="minorEastAsia"/>
      <w:lang w:val="fr-FR" w:eastAsia="fr-FR"/>
    </w:rPr>
  </w:style>
</w:styles>
</file>

<file path=word/webSettings.xml><?xml version="1.0" encoding="utf-8"?>
<w:webSettings xmlns:r="http://schemas.openxmlformats.org/officeDocument/2006/relationships" xmlns:w="http://schemas.openxmlformats.org/wordprocessingml/2006/main">
  <w:divs>
    <w:div w:id="20024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7</Pages>
  <Words>1761</Words>
  <Characters>9690</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74</cp:revision>
  <cp:lastPrinted>2017-07-19T15:08:00Z</cp:lastPrinted>
  <dcterms:created xsi:type="dcterms:W3CDTF">2017-07-18T06:14:00Z</dcterms:created>
  <dcterms:modified xsi:type="dcterms:W3CDTF">2017-07-19T15:08:00Z</dcterms:modified>
</cp:coreProperties>
</file>